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8A4A" w14:textId="00421C05" w:rsidR="00F505E0" w:rsidRDefault="00DC1A16" w:rsidP="00DC1A16">
      <w:pPr>
        <w:pStyle w:val="NoSpacing"/>
      </w:pPr>
      <w:r>
        <w:rPr>
          <w:b/>
          <w:bCs/>
        </w:rPr>
        <w:t xml:space="preserve">School Forum Decisions – </w:t>
      </w:r>
      <w:r w:rsidR="00D452B0">
        <w:rPr>
          <w:b/>
          <w:bCs/>
        </w:rPr>
        <w:t>12</w:t>
      </w:r>
      <w:r w:rsidR="00A14DC8" w:rsidRPr="00A14DC8">
        <w:rPr>
          <w:b/>
          <w:bCs/>
          <w:vertAlign w:val="superscript"/>
        </w:rPr>
        <w:t>th</w:t>
      </w:r>
      <w:r w:rsidR="00A14DC8">
        <w:rPr>
          <w:b/>
          <w:bCs/>
        </w:rPr>
        <w:t xml:space="preserve"> </w:t>
      </w:r>
      <w:r w:rsidR="00D452B0">
        <w:rPr>
          <w:b/>
          <w:bCs/>
        </w:rPr>
        <w:t>July</w:t>
      </w:r>
      <w:r>
        <w:rPr>
          <w:b/>
          <w:bCs/>
        </w:rPr>
        <w:t xml:space="preserve"> 202</w:t>
      </w:r>
      <w:r w:rsidR="00192280">
        <w:rPr>
          <w:b/>
          <w:bCs/>
        </w:rPr>
        <w:t>3</w:t>
      </w:r>
    </w:p>
    <w:p w14:paraId="05E98265" w14:textId="6A3C1F27" w:rsidR="00DC1A16" w:rsidRDefault="00DC1A16" w:rsidP="00DC1A16">
      <w:pPr>
        <w:pStyle w:val="NoSpacing"/>
      </w:pPr>
    </w:p>
    <w:p w14:paraId="1F83F96E" w14:textId="04923C71" w:rsidR="00DC1A16" w:rsidRDefault="00DC1A16" w:rsidP="00DC1A16">
      <w:pPr>
        <w:pStyle w:val="NoSpacing"/>
      </w:pPr>
      <w:r>
        <w:rPr>
          <w:b/>
          <w:bCs/>
        </w:rPr>
        <w:t xml:space="preserve">Agenda Item 2 – </w:t>
      </w:r>
      <w:r w:rsidR="004A1D51">
        <w:rPr>
          <w:b/>
          <w:bCs/>
        </w:rPr>
        <w:t>High Needs Block Surplus</w:t>
      </w:r>
    </w:p>
    <w:p w14:paraId="6456BDD6" w14:textId="6EBDB087" w:rsidR="00DC1A16" w:rsidRDefault="00DC1A16" w:rsidP="00DC1A16">
      <w:pPr>
        <w:pStyle w:val="NoSpacing"/>
      </w:pPr>
    </w:p>
    <w:p w14:paraId="4945A9E8" w14:textId="77777777" w:rsidR="00AB49DB" w:rsidRDefault="00AB49DB" w:rsidP="00AB49DB">
      <w:pPr>
        <w:rPr>
          <w:b/>
          <w:bCs/>
        </w:rPr>
      </w:pPr>
      <w:r w:rsidRPr="00AB49DB">
        <w:rPr>
          <w:b/>
          <w:bCs/>
        </w:rPr>
        <w:t>Recommendations:</w:t>
      </w:r>
    </w:p>
    <w:p w14:paraId="19374EB6" w14:textId="77777777" w:rsidR="00AB49DB" w:rsidRDefault="00AB49DB" w:rsidP="00AB49DB">
      <w:pPr>
        <w:rPr>
          <w:b/>
          <w:bCs/>
        </w:rPr>
      </w:pPr>
    </w:p>
    <w:p w14:paraId="1FB494D9" w14:textId="77777777" w:rsidR="0049183B" w:rsidRDefault="00AB49DB" w:rsidP="00894F15">
      <w:pPr>
        <w:pStyle w:val="TextR"/>
        <w:ind w:left="567" w:hanging="567"/>
      </w:pPr>
      <w:r w:rsidRPr="00AB49DB">
        <w:t>2.1</w:t>
      </w:r>
      <w:r>
        <w:rPr>
          <w:b/>
          <w:bCs/>
        </w:rPr>
        <w:tab/>
      </w:r>
      <w:r w:rsidR="00C10352">
        <w:t>Schools Forum note</w:t>
      </w:r>
      <w:r w:rsidR="00C10352">
        <w:t>d</w:t>
      </w:r>
      <w:r w:rsidR="00C10352">
        <w:t xml:space="preserve"> the accumulative forecast balance and the medium term forecast for the high needs block.</w:t>
      </w:r>
      <w:r w:rsidR="0049183B">
        <w:br/>
      </w:r>
      <w:r w:rsidR="0049183B">
        <w:br/>
      </w:r>
    </w:p>
    <w:tbl>
      <w:tblPr>
        <w:tblStyle w:val="GridTable4-Accent1"/>
        <w:tblW w:w="0" w:type="auto"/>
        <w:tblLook w:val="04A0" w:firstRow="1" w:lastRow="0" w:firstColumn="1" w:lastColumn="0" w:noHBand="0" w:noVBand="1"/>
      </w:tblPr>
      <w:tblGrid>
        <w:gridCol w:w="1438"/>
        <w:gridCol w:w="1438"/>
        <w:gridCol w:w="1438"/>
        <w:gridCol w:w="1438"/>
        <w:gridCol w:w="1439"/>
        <w:gridCol w:w="1439"/>
      </w:tblGrid>
      <w:tr w:rsidR="0049183B" w14:paraId="47B84226" w14:textId="77777777" w:rsidTr="00894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002060"/>
          </w:tcPr>
          <w:p w14:paraId="6DBF0C7D" w14:textId="77777777" w:rsidR="0049183B" w:rsidRPr="0049183B" w:rsidRDefault="0049183B" w:rsidP="00894F15">
            <w:pPr>
              <w:rPr>
                <w:rFonts w:ascii="Arial" w:hAnsi="Arial" w:cs="Arial"/>
                <w:sz w:val="24"/>
              </w:rPr>
            </w:pPr>
          </w:p>
        </w:tc>
        <w:tc>
          <w:tcPr>
            <w:tcW w:w="1438" w:type="dxa"/>
            <w:shd w:val="clear" w:color="auto" w:fill="002060"/>
          </w:tcPr>
          <w:p w14:paraId="554F1870"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sidRPr="0049183B">
              <w:rPr>
                <w:rFonts w:ascii="Arial" w:hAnsi="Arial" w:cs="Arial"/>
                <w:sz w:val="24"/>
              </w:rPr>
              <w:t>2018/19</w:t>
            </w:r>
          </w:p>
          <w:p w14:paraId="5669526F"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£’000</w:t>
            </w:r>
          </w:p>
        </w:tc>
        <w:tc>
          <w:tcPr>
            <w:tcW w:w="1438" w:type="dxa"/>
            <w:shd w:val="clear" w:color="auto" w:fill="002060"/>
          </w:tcPr>
          <w:p w14:paraId="218C4CAF"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sidRPr="0049183B">
              <w:rPr>
                <w:rFonts w:ascii="Arial" w:hAnsi="Arial" w:cs="Arial"/>
                <w:sz w:val="24"/>
              </w:rPr>
              <w:t>2019/20</w:t>
            </w:r>
          </w:p>
          <w:p w14:paraId="1E669FAE"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£’000</w:t>
            </w:r>
          </w:p>
        </w:tc>
        <w:tc>
          <w:tcPr>
            <w:tcW w:w="1438" w:type="dxa"/>
            <w:shd w:val="clear" w:color="auto" w:fill="002060"/>
          </w:tcPr>
          <w:p w14:paraId="6208A256"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sidRPr="0049183B">
              <w:rPr>
                <w:rFonts w:ascii="Arial" w:hAnsi="Arial" w:cs="Arial"/>
                <w:sz w:val="24"/>
              </w:rPr>
              <w:t>2020/21</w:t>
            </w:r>
          </w:p>
          <w:p w14:paraId="0048AC11"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£’000</w:t>
            </w:r>
          </w:p>
        </w:tc>
        <w:tc>
          <w:tcPr>
            <w:tcW w:w="1439" w:type="dxa"/>
            <w:shd w:val="clear" w:color="auto" w:fill="002060"/>
          </w:tcPr>
          <w:p w14:paraId="7EFDAE16"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sidRPr="0049183B">
              <w:rPr>
                <w:rFonts w:ascii="Arial" w:hAnsi="Arial" w:cs="Arial"/>
                <w:sz w:val="24"/>
              </w:rPr>
              <w:t>2021/22</w:t>
            </w:r>
          </w:p>
          <w:p w14:paraId="650C7EBF"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£’000</w:t>
            </w:r>
          </w:p>
        </w:tc>
        <w:tc>
          <w:tcPr>
            <w:tcW w:w="1439" w:type="dxa"/>
            <w:shd w:val="clear" w:color="auto" w:fill="002060"/>
          </w:tcPr>
          <w:p w14:paraId="2B675E3F"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sidRPr="0049183B">
              <w:rPr>
                <w:rFonts w:ascii="Arial" w:hAnsi="Arial" w:cs="Arial"/>
                <w:sz w:val="24"/>
              </w:rPr>
              <w:t>2022/23</w:t>
            </w:r>
          </w:p>
          <w:p w14:paraId="37977034" w14:textId="77777777" w:rsidR="0049183B" w:rsidRPr="0049183B" w:rsidRDefault="0049183B" w:rsidP="00894F1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£’000</w:t>
            </w:r>
          </w:p>
        </w:tc>
      </w:tr>
      <w:tr w:rsidR="0049183B" w14:paraId="2C097F11" w14:textId="77777777" w:rsidTr="00894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02CE7BAF" w14:textId="77777777" w:rsidR="0049183B" w:rsidRPr="0049183B" w:rsidRDefault="0049183B" w:rsidP="00894F15">
            <w:pPr>
              <w:rPr>
                <w:rFonts w:ascii="Arial" w:hAnsi="Arial" w:cs="Arial"/>
                <w:b w:val="0"/>
                <w:bCs w:val="0"/>
                <w:sz w:val="24"/>
              </w:rPr>
            </w:pPr>
            <w:r w:rsidRPr="0049183B">
              <w:rPr>
                <w:rFonts w:ascii="Arial" w:hAnsi="Arial" w:cs="Arial"/>
                <w:b w:val="0"/>
                <w:bCs w:val="0"/>
                <w:sz w:val="24"/>
              </w:rPr>
              <w:t>Opening Balance</w:t>
            </w:r>
          </w:p>
        </w:tc>
        <w:tc>
          <w:tcPr>
            <w:tcW w:w="1438" w:type="dxa"/>
          </w:tcPr>
          <w:p w14:paraId="466B8DD0"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2,840</w:t>
            </w:r>
          </w:p>
        </w:tc>
        <w:tc>
          <w:tcPr>
            <w:tcW w:w="1438" w:type="dxa"/>
          </w:tcPr>
          <w:p w14:paraId="272C48F8"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2,810</w:t>
            </w:r>
          </w:p>
        </w:tc>
        <w:tc>
          <w:tcPr>
            <w:tcW w:w="1438" w:type="dxa"/>
          </w:tcPr>
          <w:p w14:paraId="68F82BDB"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10,132</w:t>
            </w:r>
          </w:p>
        </w:tc>
        <w:tc>
          <w:tcPr>
            <w:tcW w:w="1439" w:type="dxa"/>
          </w:tcPr>
          <w:p w14:paraId="13B761A1"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5,950</w:t>
            </w:r>
          </w:p>
        </w:tc>
        <w:tc>
          <w:tcPr>
            <w:tcW w:w="1439" w:type="dxa"/>
          </w:tcPr>
          <w:p w14:paraId="7D2914A2"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(3,019)</w:t>
            </w:r>
          </w:p>
        </w:tc>
      </w:tr>
      <w:tr w:rsidR="0049183B" w14:paraId="3EEAAB17" w14:textId="77777777" w:rsidTr="00894F15">
        <w:tc>
          <w:tcPr>
            <w:cnfStyle w:val="001000000000" w:firstRow="0" w:lastRow="0" w:firstColumn="1" w:lastColumn="0" w:oddVBand="0" w:evenVBand="0" w:oddHBand="0" w:evenHBand="0" w:firstRowFirstColumn="0" w:firstRowLastColumn="0" w:lastRowFirstColumn="0" w:lastRowLastColumn="0"/>
            <w:tcW w:w="1438" w:type="dxa"/>
          </w:tcPr>
          <w:p w14:paraId="035C7E87" w14:textId="77777777" w:rsidR="0049183B" w:rsidRPr="0049183B" w:rsidRDefault="0049183B" w:rsidP="00894F15">
            <w:pPr>
              <w:rPr>
                <w:rFonts w:ascii="Arial" w:hAnsi="Arial" w:cs="Arial"/>
                <w:b w:val="0"/>
                <w:bCs w:val="0"/>
                <w:sz w:val="24"/>
              </w:rPr>
            </w:pPr>
            <w:r w:rsidRPr="0049183B">
              <w:rPr>
                <w:rFonts w:ascii="Arial" w:hAnsi="Arial" w:cs="Arial"/>
                <w:b w:val="0"/>
                <w:bCs w:val="0"/>
                <w:sz w:val="24"/>
              </w:rPr>
              <w:t>Outturn</w:t>
            </w:r>
          </w:p>
        </w:tc>
        <w:tc>
          <w:tcPr>
            <w:tcW w:w="1438" w:type="dxa"/>
          </w:tcPr>
          <w:p w14:paraId="0E6EC23C"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139,075</w:t>
            </w:r>
          </w:p>
        </w:tc>
        <w:tc>
          <w:tcPr>
            <w:tcW w:w="1438" w:type="dxa"/>
          </w:tcPr>
          <w:p w14:paraId="4A1E2C52"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152,533</w:t>
            </w:r>
          </w:p>
        </w:tc>
        <w:tc>
          <w:tcPr>
            <w:tcW w:w="1438" w:type="dxa"/>
          </w:tcPr>
          <w:p w14:paraId="02972C4C"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157,861</w:t>
            </w:r>
          </w:p>
        </w:tc>
        <w:tc>
          <w:tcPr>
            <w:tcW w:w="1439" w:type="dxa"/>
          </w:tcPr>
          <w:p w14:paraId="7C8AFF4D"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171,996</w:t>
            </w:r>
          </w:p>
        </w:tc>
        <w:tc>
          <w:tcPr>
            <w:tcW w:w="1439" w:type="dxa"/>
          </w:tcPr>
          <w:p w14:paraId="7B7126CE"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192,397</w:t>
            </w:r>
          </w:p>
        </w:tc>
      </w:tr>
      <w:tr w:rsidR="0049183B" w14:paraId="6913A561" w14:textId="77777777" w:rsidTr="00894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4BB26DBE" w14:textId="77777777" w:rsidR="0049183B" w:rsidRPr="0049183B" w:rsidRDefault="0049183B" w:rsidP="00894F15">
            <w:pPr>
              <w:rPr>
                <w:rFonts w:ascii="Arial" w:hAnsi="Arial" w:cs="Arial"/>
                <w:b w:val="0"/>
                <w:bCs w:val="0"/>
                <w:sz w:val="24"/>
              </w:rPr>
            </w:pPr>
            <w:r w:rsidRPr="0049183B">
              <w:rPr>
                <w:rFonts w:ascii="Arial" w:hAnsi="Arial" w:cs="Arial"/>
                <w:b w:val="0"/>
                <w:bCs w:val="0"/>
                <w:sz w:val="24"/>
              </w:rPr>
              <w:t>Funding</w:t>
            </w:r>
          </w:p>
        </w:tc>
        <w:tc>
          <w:tcPr>
            <w:tcW w:w="1438" w:type="dxa"/>
          </w:tcPr>
          <w:p w14:paraId="1728EA71"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(139,105)</w:t>
            </w:r>
          </w:p>
        </w:tc>
        <w:tc>
          <w:tcPr>
            <w:tcW w:w="1438" w:type="dxa"/>
          </w:tcPr>
          <w:p w14:paraId="17B6B16B"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(140,932)</w:t>
            </w:r>
          </w:p>
        </w:tc>
        <w:tc>
          <w:tcPr>
            <w:tcW w:w="1438" w:type="dxa"/>
          </w:tcPr>
          <w:p w14:paraId="56C10A78"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(162,043)</w:t>
            </w:r>
          </w:p>
        </w:tc>
        <w:tc>
          <w:tcPr>
            <w:tcW w:w="1439" w:type="dxa"/>
          </w:tcPr>
          <w:p w14:paraId="46BB8B10"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(180,965)</w:t>
            </w:r>
          </w:p>
        </w:tc>
        <w:tc>
          <w:tcPr>
            <w:tcW w:w="1439" w:type="dxa"/>
          </w:tcPr>
          <w:p w14:paraId="23D2CD1D"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(202,853)</w:t>
            </w:r>
          </w:p>
        </w:tc>
      </w:tr>
      <w:tr w:rsidR="0049183B" w14:paraId="13D03C54" w14:textId="77777777" w:rsidTr="00894F15">
        <w:tc>
          <w:tcPr>
            <w:cnfStyle w:val="001000000000" w:firstRow="0" w:lastRow="0" w:firstColumn="1" w:lastColumn="0" w:oddVBand="0" w:evenVBand="0" w:oddHBand="0" w:evenHBand="0" w:firstRowFirstColumn="0" w:firstRowLastColumn="0" w:lastRowFirstColumn="0" w:lastRowLastColumn="0"/>
            <w:tcW w:w="1438" w:type="dxa"/>
          </w:tcPr>
          <w:p w14:paraId="31BC5DE5" w14:textId="77777777" w:rsidR="0049183B" w:rsidRPr="0049183B" w:rsidRDefault="0049183B" w:rsidP="00894F15">
            <w:pPr>
              <w:rPr>
                <w:rFonts w:ascii="Arial" w:hAnsi="Arial" w:cs="Arial"/>
                <w:b w:val="0"/>
                <w:bCs w:val="0"/>
                <w:sz w:val="24"/>
              </w:rPr>
            </w:pPr>
            <w:r w:rsidRPr="0049183B">
              <w:rPr>
                <w:rFonts w:ascii="Arial" w:hAnsi="Arial" w:cs="Arial"/>
                <w:b w:val="0"/>
                <w:bCs w:val="0"/>
                <w:sz w:val="24"/>
              </w:rPr>
              <w:t>In-Year deficit / (surplus)</w:t>
            </w:r>
          </w:p>
        </w:tc>
        <w:tc>
          <w:tcPr>
            <w:tcW w:w="1438" w:type="dxa"/>
          </w:tcPr>
          <w:p w14:paraId="226AE3FF"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(30)</w:t>
            </w:r>
          </w:p>
        </w:tc>
        <w:tc>
          <w:tcPr>
            <w:tcW w:w="1438" w:type="dxa"/>
          </w:tcPr>
          <w:p w14:paraId="79B98440"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11,601</w:t>
            </w:r>
          </w:p>
        </w:tc>
        <w:tc>
          <w:tcPr>
            <w:tcW w:w="1438" w:type="dxa"/>
          </w:tcPr>
          <w:p w14:paraId="5D138A8D"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(4,182)</w:t>
            </w:r>
          </w:p>
        </w:tc>
        <w:tc>
          <w:tcPr>
            <w:tcW w:w="1439" w:type="dxa"/>
          </w:tcPr>
          <w:p w14:paraId="51B73470"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(8,969)</w:t>
            </w:r>
          </w:p>
        </w:tc>
        <w:tc>
          <w:tcPr>
            <w:tcW w:w="1439" w:type="dxa"/>
          </w:tcPr>
          <w:p w14:paraId="7C639822"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9183B">
              <w:rPr>
                <w:rFonts w:ascii="Arial" w:hAnsi="Arial" w:cs="Arial"/>
                <w:sz w:val="24"/>
              </w:rPr>
              <w:t>(10,456)</w:t>
            </w:r>
          </w:p>
        </w:tc>
      </w:tr>
      <w:tr w:rsidR="0049183B" w14:paraId="74FBCDC0" w14:textId="77777777" w:rsidTr="00894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36A70C40" w14:textId="77777777" w:rsidR="0049183B" w:rsidRPr="0049183B" w:rsidRDefault="0049183B" w:rsidP="00894F15">
            <w:pPr>
              <w:rPr>
                <w:rFonts w:ascii="Arial" w:hAnsi="Arial" w:cs="Arial"/>
                <w:b w:val="0"/>
                <w:bCs w:val="0"/>
                <w:sz w:val="24"/>
              </w:rPr>
            </w:pPr>
            <w:r w:rsidRPr="0049183B">
              <w:rPr>
                <w:rFonts w:ascii="Arial" w:hAnsi="Arial" w:cs="Arial"/>
                <w:b w:val="0"/>
                <w:bCs w:val="0"/>
                <w:sz w:val="24"/>
              </w:rPr>
              <w:t>Transfer from SB</w:t>
            </w:r>
          </w:p>
        </w:tc>
        <w:tc>
          <w:tcPr>
            <w:tcW w:w="1438" w:type="dxa"/>
          </w:tcPr>
          <w:p w14:paraId="418DD3C2"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0</w:t>
            </w:r>
          </w:p>
        </w:tc>
        <w:tc>
          <w:tcPr>
            <w:tcW w:w="1438" w:type="dxa"/>
          </w:tcPr>
          <w:p w14:paraId="79019184"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(4,279)</w:t>
            </w:r>
          </w:p>
        </w:tc>
        <w:tc>
          <w:tcPr>
            <w:tcW w:w="1438" w:type="dxa"/>
          </w:tcPr>
          <w:p w14:paraId="4C385F33"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0</w:t>
            </w:r>
          </w:p>
        </w:tc>
        <w:tc>
          <w:tcPr>
            <w:tcW w:w="1439" w:type="dxa"/>
          </w:tcPr>
          <w:p w14:paraId="29A9173F"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0</w:t>
            </w:r>
          </w:p>
        </w:tc>
        <w:tc>
          <w:tcPr>
            <w:tcW w:w="1439" w:type="dxa"/>
          </w:tcPr>
          <w:p w14:paraId="56ED9F0E" w14:textId="77777777" w:rsidR="0049183B" w:rsidRPr="0049183B" w:rsidRDefault="0049183B" w:rsidP="00894F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9183B">
              <w:rPr>
                <w:rFonts w:ascii="Arial" w:hAnsi="Arial" w:cs="Arial"/>
                <w:sz w:val="24"/>
              </w:rPr>
              <w:t>0</w:t>
            </w:r>
          </w:p>
        </w:tc>
      </w:tr>
      <w:tr w:rsidR="0049183B" w:rsidRPr="00404EA8" w14:paraId="2BE0B58C" w14:textId="77777777" w:rsidTr="00894F15">
        <w:tc>
          <w:tcPr>
            <w:cnfStyle w:val="001000000000" w:firstRow="0" w:lastRow="0" w:firstColumn="1" w:lastColumn="0" w:oddVBand="0" w:evenVBand="0" w:oddHBand="0" w:evenHBand="0" w:firstRowFirstColumn="0" w:firstRowLastColumn="0" w:lastRowFirstColumn="0" w:lastRowLastColumn="0"/>
            <w:tcW w:w="1438" w:type="dxa"/>
          </w:tcPr>
          <w:p w14:paraId="7B112DA4" w14:textId="77777777" w:rsidR="0049183B" w:rsidRPr="0049183B" w:rsidRDefault="0049183B" w:rsidP="00894F15">
            <w:pPr>
              <w:rPr>
                <w:rFonts w:ascii="Arial" w:hAnsi="Arial" w:cs="Arial"/>
                <w:b w:val="0"/>
                <w:bCs w:val="0"/>
                <w:sz w:val="24"/>
              </w:rPr>
            </w:pPr>
            <w:r w:rsidRPr="0049183B">
              <w:rPr>
                <w:rFonts w:ascii="Arial" w:hAnsi="Arial" w:cs="Arial"/>
                <w:b w:val="0"/>
                <w:bCs w:val="0"/>
                <w:sz w:val="24"/>
              </w:rPr>
              <w:t>Closing Balance</w:t>
            </w:r>
          </w:p>
        </w:tc>
        <w:tc>
          <w:tcPr>
            <w:tcW w:w="1438" w:type="dxa"/>
          </w:tcPr>
          <w:p w14:paraId="5D10E62F"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9183B">
              <w:rPr>
                <w:rFonts w:ascii="Arial" w:hAnsi="Arial" w:cs="Arial"/>
                <w:b/>
                <w:bCs/>
                <w:sz w:val="24"/>
              </w:rPr>
              <w:t>2,810</w:t>
            </w:r>
          </w:p>
        </w:tc>
        <w:tc>
          <w:tcPr>
            <w:tcW w:w="1438" w:type="dxa"/>
          </w:tcPr>
          <w:p w14:paraId="6C5B91C8"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9183B">
              <w:rPr>
                <w:rFonts w:ascii="Arial" w:hAnsi="Arial" w:cs="Arial"/>
                <w:b/>
                <w:bCs/>
                <w:sz w:val="24"/>
              </w:rPr>
              <w:t>10,132</w:t>
            </w:r>
          </w:p>
        </w:tc>
        <w:tc>
          <w:tcPr>
            <w:tcW w:w="1438" w:type="dxa"/>
          </w:tcPr>
          <w:p w14:paraId="0FF49767"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9183B">
              <w:rPr>
                <w:rFonts w:ascii="Arial" w:hAnsi="Arial" w:cs="Arial"/>
                <w:b/>
                <w:bCs/>
                <w:sz w:val="24"/>
              </w:rPr>
              <w:t>5,950</w:t>
            </w:r>
          </w:p>
        </w:tc>
        <w:tc>
          <w:tcPr>
            <w:tcW w:w="1439" w:type="dxa"/>
          </w:tcPr>
          <w:p w14:paraId="3560F3B4"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9183B">
              <w:rPr>
                <w:rFonts w:ascii="Arial" w:hAnsi="Arial" w:cs="Arial"/>
                <w:b/>
                <w:bCs/>
                <w:sz w:val="24"/>
              </w:rPr>
              <w:t>(3,019)</w:t>
            </w:r>
          </w:p>
        </w:tc>
        <w:tc>
          <w:tcPr>
            <w:tcW w:w="1439" w:type="dxa"/>
          </w:tcPr>
          <w:p w14:paraId="63721D73" w14:textId="77777777" w:rsidR="0049183B" w:rsidRPr="0049183B" w:rsidRDefault="0049183B" w:rsidP="00894F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9183B">
              <w:rPr>
                <w:rFonts w:ascii="Arial" w:hAnsi="Arial" w:cs="Arial"/>
                <w:b/>
                <w:bCs/>
                <w:sz w:val="24"/>
              </w:rPr>
              <w:t>(13,475)</w:t>
            </w:r>
          </w:p>
        </w:tc>
      </w:tr>
    </w:tbl>
    <w:p w14:paraId="5B884266" w14:textId="70EBC369" w:rsidR="00C10352" w:rsidRDefault="00C10352" w:rsidP="00894F15">
      <w:pPr>
        <w:pStyle w:val="TextR"/>
        <w:ind w:left="567" w:hanging="567"/>
      </w:pPr>
    </w:p>
    <w:p w14:paraId="28DB58E9" w14:textId="01AAF76C" w:rsidR="0049183B" w:rsidRDefault="00AE6033" w:rsidP="00894F15">
      <w:pPr>
        <w:pStyle w:val="TextR"/>
        <w:ind w:left="567" w:hanging="567"/>
      </w:pPr>
      <w:r>
        <w:rPr>
          <w:noProof/>
        </w:rPr>
        <w:drawing>
          <wp:inline distT="0" distB="0" distL="0" distR="0" wp14:anchorId="1FAA4F19" wp14:editId="260C260F">
            <wp:extent cx="6120765" cy="3578860"/>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78860"/>
                    </a:xfrm>
                    <a:prstGeom prst="rect">
                      <a:avLst/>
                    </a:prstGeom>
                    <a:noFill/>
                  </pic:spPr>
                </pic:pic>
              </a:graphicData>
            </a:graphic>
          </wp:inline>
        </w:drawing>
      </w:r>
    </w:p>
    <w:p w14:paraId="15682643" w14:textId="77777777" w:rsidR="00C10352" w:rsidRDefault="00C10352" w:rsidP="00894F15">
      <w:pPr>
        <w:pStyle w:val="TextR"/>
        <w:ind w:left="567" w:hanging="567"/>
      </w:pPr>
    </w:p>
    <w:p w14:paraId="395977F6" w14:textId="77777777" w:rsidR="004A677E" w:rsidRDefault="004A677E" w:rsidP="00C10352">
      <w:pPr>
        <w:pStyle w:val="TextR"/>
        <w:ind w:left="567" w:hanging="567"/>
      </w:pPr>
    </w:p>
    <w:p w14:paraId="3A538DD5" w14:textId="77777777" w:rsidR="004A677E" w:rsidRDefault="004A677E" w:rsidP="00C10352">
      <w:pPr>
        <w:pStyle w:val="TextR"/>
        <w:ind w:left="567" w:hanging="567"/>
      </w:pPr>
    </w:p>
    <w:p w14:paraId="4BCB2D37" w14:textId="77777777" w:rsidR="004A677E" w:rsidRDefault="004A677E" w:rsidP="00C10352">
      <w:pPr>
        <w:pStyle w:val="TextR"/>
        <w:ind w:left="567" w:hanging="567"/>
      </w:pPr>
    </w:p>
    <w:p w14:paraId="57909EB2" w14:textId="6041E570" w:rsidR="00C10352" w:rsidRDefault="00C10352" w:rsidP="00C10352">
      <w:pPr>
        <w:pStyle w:val="TextR"/>
        <w:ind w:left="567" w:hanging="567"/>
      </w:pPr>
      <w:r>
        <w:lastRenderedPageBreak/>
        <w:t>2.2</w:t>
      </w:r>
      <w:r>
        <w:tab/>
        <w:t>Schools Forum approve</w:t>
      </w:r>
      <w:r w:rsidR="00C77F78">
        <w:t>d</w:t>
      </w:r>
      <w:r>
        <w:t xml:space="preserve"> the one-off allocations from the surplus balance at 4.10 to 4.14.</w:t>
      </w:r>
    </w:p>
    <w:p w14:paraId="53EED4DE" w14:textId="77777777" w:rsidR="00C10352" w:rsidRDefault="00C10352" w:rsidP="00C10352">
      <w:pPr>
        <w:pStyle w:val="TextR"/>
        <w:ind w:left="567" w:hanging="567"/>
      </w:pPr>
    </w:p>
    <w:tbl>
      <w:tblPr>
        <w:tblStyle w:val="GridTable4-Accent1"/>
        <w:tblW w:w="0" w:type="auto"/>
        <w:tblLook w:val="04A0" w:firstRow="1" w:lastRow="0" w:firstColumn="1" w:lastColumn="0" w:noHBand="0" w:noVBand="1"/>
      </w:tblPr>
      <w:tblGrid>
        <w:gridCol w:w="4343"/>
        <w:gridCol w:w="2403"/>
        <w:gridCol w:w="2270"/>
      </w:tblGrid>
      <w:tr w:rsidR="004A677E" w:rsidRPr="004A677E" w14:paraId="39042AF0" w14:textId="77777777" w:rsidTr="00894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002060"/>
          </w:tcPr>
          <w:p w14:paraId="086CAA8F" w14:textId="77777777" w:rsidR="004A677E" w:rsidRPr="004A677E" w:rsidRDefault="004A677E" w:rsidP="004A677E">
            <w:pPr>
              <w:rPr>
                <w:rFonts w:ascii="Arial" w:hAnsi="Arial" w:cs="Arial"/>
                <w:sz w:val="24"/>
              </w:rPr>
            </w:pPr>
          </w:p>
        </w:tc>
        <w:tc>
          <w:tcPr>
            <w:tcW w:w="2552" w:type="dxa"/>
            <w:shd w:val="clear" w:color="auto" w:fill="002060"/>
          </w:tcPr>
          <w:p w14:paraId="4BD7E1DA" w14:textId="77777777" w:rsidR="004A677E" w:rsidRPr="004A677E" w:rsidRDefault="004A677E" w:rsidP="004A67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A677E">
              <w:rPr>
                <w:rFonts w:ascii="Arial" w:hAnsi="Arial" w:cs="Arial"/>
                <w:sz w:val="24"/>
              </w:rPr>
              <w:t>2023/24</w:t>
            </w:r>
          </w:p>
          <w:p w14:paraId="340040FD" w14:textId="77777777" w:rsidR="004A677E" w:rsidRPr="004A677E" w:rsidRDefault="004A677E" w:rsidP="004A67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A677E">
              <w:rPr>
                <w:rFonts w:ascii="Arial" w:hAnsi="Arial" w:cs="Arial"/>
                <w:sz w:val="24"/>
              </w:rPr>
              <w:t>£’000</w:t>
            </w:r>
          </w:p>
        </w:tc>
        <w:tc>
          <w:tcPr>
            <w:tcW w:w="2404" w:type="dxa"/>
            <w:shd w:val="clear" w:color="auto" w:fill="002060"/>
          </w:tcPr>
          <w:p w14:paraId="08C9E6C1" w14:textId="77777777" w:rsidR="004A677E" w:rsidRPr="004A677E" w:rsidRDefault="004A677E" w:rsidP="004A67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A677E">
              <w:rPr>
                <w:rFonts w:ascii="Arial" w:hAnsi="Arial" w:cs="Arial"/>
                <w:sz w:val="24"/>
              </w:rPr>
              <w:t>2024/25</w:t>
            </w:r>
          </w:p>
          <w:p w14:paraId="44A64079" w14:textId="77777777" w:rsidR="004A677E" w:rsidRPr="004A677E" w:rsidRDefault="004A677E" w:rsidP="004A67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4A677E">
              <w:rPr>
                <w:rFonts w:ascii="Arial" w:hAnsi="Arial" w:cs="Arial"/>
                <w:sz w:val="24"/>
              </w:rPr>
              <w:t>£’000</w:t>
            </w:r>
          </w:p>
        </w:tc>
      </w:tr>
      <w:tr w:rsidR="004A677E" w:rsidRPr="004A677E" w14:paraId="0CFAEA39" w14:textId="77777777" w:rsidTr="00894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FF00FE0" w14:textId="77777777" w:rsidR="004A677E" w:rsidRPr="004A677E" w:rsidRDefault="004A677E" w:rsidP="004A677E">
            <w:pPr>
              <w:rPr>
                <w:rFonts w:ascii="Arial" w:hAnsi="Arial" w:cs="Arial"/>
                <w:b w:val="0"/>
                <w:bCs w:val="0"/>
                <w:sz w:val="24"/>
              </w:rPr>
            </w:pPr>
            <w:r w:rsidRPr="004A677E">
              <w:rPr>
                <w:rFonts w:ascii="Arial" w:hAnsi="Arial" w:cs="Arial"/>
                <w:b w:val="0"/>
                <w:bCs w:val="0"/>
                <w:sz w:val="24"/>
              </w:rPr>
              <w:t>5% increase to top-up funding</w:t>
            </w:r>
          </w:p>
        </w:tc>
        <w:tc>
          <w:tcPr>
            <w:tcW w:w="2552" w:type="dxa"/>
          </w:tcPr>
          <w:p w14:paraId="679E0AA5" w14:textId="77777777" w:rsidR="004A677E" w:rsidRPr="004A677E" w:rsidRDefault="004A677E" w:rsidP="004A67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677E">
              <w:rPr>
                <w:rFonts w:ascii="Arial" w:hAnsi="Arial" w:cs="Arial"/>
                <w:sz w:val="24"/>
              </w:rPr>
              <w:t>3,100</w:t>
            </w:r>
          </w:p>
        </w:tc>
        <w:tc>
          <w:tcPr>
            <w:tcW w:w="2404" w:type="dxa"/>
          </w:tcPr>
          <w:p w14:paraId="350B48F7" w14:textId="77777777" w:rsidR="004A677E" w:rsidRPr="004A677E" w:rsidRDefault="004A677E" w:rsidP="004A67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677E">
              <w:rPr>
                <w:rFonts w:ascii="Arial" w:hAnsi="Arial" w:cs="Arial"/>
                <w:sz w:val="24"/>
              </w:rPr>
              <w:t>3,100</w:t>
            </w:r>
          </w:p>
        </w:tc>
      </w:tr>
      <w:tr w:rsidR="004A677E" w:rsidRPr="004A677E" w14:paraId="706E8735" w14:textId="77777777" w:rsidTr="00894F15">
        <w:tc>
          <w:tcPr>
            <w:tcW w:w="4673" w:type="dxa"/>
          </w:tcPr>
          <w:p w14:paraId="10F852EB" w14:textId="77777777" w:rsidR="004A677E" w:rsidRPr="004A677E" w:rsidRDefault="004A677E" w:rsidP="004A677E">
            <w:pPr>
              <w:cnfStyle w:val="001000000000" w:firstRow="0" w:lastRow="0" w:firstColumn="1" w:lastColumn="0" w:oddVBand="0" w:evenVBand="0" w:oddHBand="0" w:evenHBand="0" w:firstRowFirstColumn="0" w:firstRowLastColumn="0" w:lastRowFirstColumn="0" w:lastRowLastColumn="0"/>
              <w:rPr>
                <w:rFonts w:ascii="Arial" w:hAnsi="Arial" w:cs="Arial"/>
                <w:b w:val="0"/>
                <w:bCs w:val="0"/>
                <w:sz w:val="24"/>
              </w:rPr>
            </w:pPr>
            <w:r w:rsidRPr="004A677E">
              <w:rPr>
                <w:rFonts w:ascii="Arial" w:hAnsi="Arial" w:cs="Arial"/>
                <w:b w:val="0"/>
                <w:bCs w:val="0"/>
                <w:sz w:val="24"/>
              </w:rPr>
              <w:t>Up to £500 per pupil for settings in receipt of place funding.</w:t>
            </w:r>
          </w:p>
        </w:tc>
        <w:tc>
          <w:tcPr>
            <w:tcW w:w="2552" w:type="dxa"/>
          </w:tcPr>
          <w:p w14:paraId="2191BC6B" w14:textId="77777777" w:rsidR="004A677E" w:rsidRPr="004A677E" w:rsidRDefault="004A677E" w:rsidP="004A677E">
            <w:pPr>
              <w:jc w:val="right"/>
              <w:rPr>
                <w:rFonts w:ascii="Arial" w:hAnsi="Arial" w:cs="Arial"/>
                <w:sz w:val="24"/>
              </w:rPr>
            </w:pPr>
            <w:r w:rsidRPr="004A677E">
              <w:rPr>
                <w:rFonts w:ascii="Arial" w:hAnsi="Arial" w:cs="Arial"/>
                <w:sz w:val="24"/>
              </w:rPr>
              <w:t>716</w:t>
            </w:r>
          </w:p>
        </w:tc>
        <w:tc>
          <w:tcPr>
            <w:tcW w:w="2404" w:type="dxa"/>
          </w:tcPr>
          <w:p w14:paraId="6EF60D70" w14:textId="77777777" w:rsidR="004A677E" w:rsidRPr="004A677E" w:rsidRDefault="004A677E" w:rsidP="004A677E">
            <w:pPr>
              <w:jc w:val="right"/>
              <w:rPr>
                <w:rFonts w:ascii="Arial" w:hAnsi="Arial" w:cs="Arial"/>
                <w:sz w:val="24"/>
              </w:rPr>
            </w:pPr>
            <w:r w:rsidRPr="004A677E">
              <w:rPr>
                <w:rFonts w:ascii="Arial" w:hAnsi="Arial" w:cs="Arial"/>
                <w:sz w:val="24"/>
              </w:rPr>
              <w:t>716</w:t>
            </w:r>
            <w:r w:rsidRPr="004A677E">
              <w:rPr>
                <w:rFonts w:ascii="Arial" w:hAnsi="Arial" w:cs="Arial"/>
                <w:sz w:val="24"/>
                <w:vertAlign w:val="superscript"/>
              </w:rPr>
              <w:footnoteReference w:id="1"/>
            </w:r>
          </w:p>
        </w:tc>
      </w:tr>
      <w:tr w:rsidR="004A677E" w:rsidRPr="004A677E" w14:paraId="3AC9DB55" w14:textId="77777777" w:rsidTr="00894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45F077" w14:textId="77777777" w:rsidR="004A677E" w:rsidRPr="004A677E" w:rsidRDefault="004A677E" w:rsidP="004A677E">
            <w:pPr>
              <w:rPr>
                <w:rFonts w:ascii="Arial" w:hAnsi="Arial" w:cs="Arial"/>
                <w:b w:val="0"/>
                <w:bCs w:val="0"/>
                <w:sz w:val="24"/>
              </w:rPr>
            </w:pPr>
            <w:r w:rsidRPr="004A677E">
              <w:rPr>
                <w:rFonts w:ascii="Arial" w:hAnsi="Arial" w:cs="Arial"/>
                <w:b w:val="0"/>
                <w:bCs w:val="0"/>
                <w:sz w:val="24"/>
              </w:rPr>
              <w:t>Inclusion Framework</w:t>
            </w:r>
          </w:p>
        </w:tc>
        <w:tc>
          <w:tcPr>
            <w:tcW w:w="2552" w:type="dxa"/>
          </w:tcPr>
          <w:p w14:paraId="2526FAF2" w14:textId="77777777" w:rsidR="004A677E" w:rsidRPr="004A677E" w:rsidRDefault="004A677E" w:rsidP="004A67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677E">
              <w:rPr>
                <w:rFonts w:ascii="Arial" w:hAnsi="Arial" w:cs="Arial"/>
                <w:sz w:val="24"/>
              </w:rPr>
              <w:t>0</w:t>
            </w:r>
          </w:p>
        </w:tc>
        <w:tc>
          <w:tcPr>
            <w:tcW w:w="2404" w:type="dxa"/>
          </w:tcPr>
          <w:p w14:paraId="6375D71A" w14:textId="77777777" w:rsidR="004A677E" w:rsidRPr="004A677E" w:rsidRDefault="004A677E" w:rsidP="004A67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677E">
              <w:rPr>
                <w:rFonts w:ascii="Arial" w:hAnsi="Arial" w:cs="Arial"/>
                <w:sz w:val="24"/>
              </w:rPr>
              <w:t>2,000</w:t>
            </w:r>
          </w:p>
        </w:tc>
      </w:tr>
      <w:tr w:rsidR="004A677E" w:rsidRPr="004A677E" w14:paraId="78618A54" w14:textId="77777777" w:rsidTr="00894F15">
        <w:tc>
          <w:tcPr>
            <w:cnfStyle w:val="001000000000" w:firstRow="0" w:lastRow="0" w:firstColumn="1" w:lastColumn="0" w:oddVBand="0" w:evenVBand="0" w:oddHBand="0" w:evenHBand="0" w:firstRowFirstColumn="0" w:firstRowLastColumn="0" w:lastRowFirstColumn="0" w:lastRowLastColumn="0"/>
            <w:tcW w:w="4673" w:type="dxa"/>
          </w:tcPr>
          <w:p w14:paraId="6CF03261" w14:textId="77777777" w:rsidR="004A677E" w:rsidRPr="004A677E" w:rsidRDefault="004A677E" w:rsidP="004A677E">
            <w:pPr>
              <w:rPr>
                <w:rFonts w:ascii="Arial" w:hAnsi="Arial" w:cs="Arial"/>
                <w:b w:val="0"/>
                <w:bCs w:val="0"/>
                <w:sz w:val="24"/>
              </w:rPr>
            </w:pPr>
            <w:r w:rsidRPr="004A677E">
              <w:rPr>
                <w:rFonts w:ascii="Arial" w:hAnsi="Arial" w:cs="Arial"/>
                <w:b w:val="0"/>
                <w:bCs w:val="0"/>
                <w:sz w:val="24"/>
              </w:rPr>
              <w:t>Outreach</w:t>
            </w:r>
          </w:p>
        </w:tc>
        <w:tc>
          <w:tcPr>
            <w:tcW w:w="2552" w:type="dxa"/>
          </w:tcPr>
          <w:p w14:paraId="55C99FA9" w14:textId="77777777" w:rsidR="004A677E" w:rsidRPr="004A677E" w:rsidRDefault="004A677E" w:rsidP="004A67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A677E">
              <w:rPr>
                <w:rFonts w:ascii="Arial" w:hAnsi="Arial" w:cs="Arial"/>
                <w:sz w:val="24"/>
              </w:rPr>
              <w:t>1,000</w:t>
            </w:r>
          </w:p>
        </w:tc>
        <w:tc>
          <w:tcPr>
            <w:tcW w:w="2404" w:type="dxa"/>
          </w:tcPr>
          <w:p w14:paraId="32FEE9F1" w14:textId="77777777" w:rsidR="004A677E" w:rsidRPr="004A677E" w:rsidRDefault="004A677E" w:rsidP="004A67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4A677E">
              <w:rPr>
                <w:rFonts w:ascii="Arial" w:hAnsi="Arial" w:cs="Arial"/>
                <w:sz w:val="24"/>
              </w:rPr>
              <w:t>2,000</w:t>
            </w:r>
          </w:p>
        </w:tc>
      </w:tr>
      <w:tr w:rsidR="004A677E" w:rsidRPr="004A677E" w14:paraId="7D4CE24C" w14:textId="77777777" w:rsidTr="00894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04B92B" w14:textId="77777777" w:rsidR="004A677E" w:rsidRPr="004A677E" w:rsidRDefault="004A677E" w:rsidP="004A677E">
            <w:pPr>
              <w:rPr>
                <w:rFonts w:ascii="Arial" w:hAnsi="Arial" w:cs="Arial"/>
                <w:b w:val="0"/>
                <w:bCs w:val="0"/>
                <w:sz w:val="24"/>
              </w:rPr>
            </w:pPr>
            <w:r w:rsidRPr="004A677E">
              <w:rPr>
                <w:rFonts w:ascii="Arial" w:hAnsi="Arial" w:cs="Arial"/>
                <w:b w:val="0"/>
                <w:bCs w:val="0"/>
                <w:sz w:val="24"/>
              </w:rPr>
              <w:t>Training</w:t>
            </w:r>
          </w:p>
        </w:tc>
        <w:tc>
          <w:tcPr>
            <w:tcW w:w="2552" w:type="dxa"/>
          </w:tcPr>
          <w:p w14:paraId="3D407BD1" w14:textId="77777777" w:rsidR="004A677E" w:rsidRPr="004A677E" w:rsidRDefault="004A677E" w:rsidP="004A67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677E">
              <w:rPr>
                <w:rFonts w:ascii="Arial" w:hAnsi="Arial" w:cs="Arial"/>
                <w:sz w:val="24"/>
              </w:rPr>
              <w:t>0</w:t>
            </w:r>
          </w:p>
        </w:tc>
        <w:tc>
          <w:tcPr>
            <w:tcW w:w="2404" w:type="dxa"/>
          </w:tcPr>
          <w:p w14:paraId="6DDAC88E" w14:textId="77777777" w:rsidR="004A677E" w:rsidRPr="004A677E" w:rsidRDefault="004A677E" w:rsidP="004A67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677E">
              <w:rPr>
                <w:rFonts w:ascii="Arial" w:hAnsi="Arial" w:cs="Arial"/>
                <w:sz w:val="24"/>
              </w:rPr>
              <w:t>600</w:t>
            </w:r>
          </w:p>
        </w:tc>
      </w:tr>
      <w:tr w:rsidR="004A677E" w:rsidRPr="004A677E" w14:paraId="7759A448" w14:textId="77777777" w:rsidTr="00894F15">
        <w:tc>
          <w:tcPr>
            <w:cnfStyle w:val="001000000000" w:firstRow="0" w:lastRow="0" w:firstColumn="1" w:lastColumn="0" w:oddVBand="0" w:evenVBand="0" w:oddHBand="0" w:evenHBand="0" w:firstRowFirstColumn="0" w:firstRowLastColumn="0" w:lastRowFirstColumn="0" w:lastRowLastColumn="0"/>
            <w:tcW w:w="4673" w:type="dxa"/>
          </w:tcPr>
          <w:p w14:paraId="09928169" w14:textId="77777777" w:rsidR="004A677E" w:rsidRPr="004A677E" w:rsidRDefault="004A677E" w:rsidP="004A677E">
            <w:pPr>
              <w:rPr>
                <w:rFonts w:ascii="Arial" w:hAnsi="Arial" w:cs="Arial"/>
                <w:sz w:val="24"/>
              </w:rPr>
            </w:pPr>
            <w:r w:rsidRPr="004A677E">
              <w:rPr>
                <w:rFonts w:ascii="Arial" w:hAnsi="Arial" w:cs="Arial"/>
                <w:sz w:val="24"/>
              </w:rPr>
              <w:t>Total</w:t>
            </w:r>
          </w:p>
        </w:tc>
        <w:tc>
          <w:tcPr>
            <w:tcW w:w="2552" w:type="dxa"/>
          </w:tcPr>
          <w:p w14:paraId="547B601A" w14:textId="77777777" w:rsidR="004A677E" w:rsidRPr="004A677E" w:rsidRDefault="004A677E" w:rsidP="004A67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A677E">
              <w:rPr>
                <w:rFonts w:ascii="Arial" w:hAnsi="Arial" w:cs="Arial"/>
                <w:b/>
                <w:bCs/>
                <w:sz w:val="24"/>
              </w:rPr>
              <w:t>4,816</w:t>
            </w:r>
          </w:p>
        </w:tc>
        <w:tc>
          <w:tcPr>
            <w:tcW w:w="2404" w:type="dxa"/>
          </w:tcPr>
          <w:p w14:paraId="1C229FD0" w14:textId="77777777" w:rsidR="004A677E" w:rsidRPr="004A677E" w:rsidRDefault="004A677E" w:rsidP="004A677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sidRPr="004A677E">
              <w:rPr>
                <w:rFonts w:ascii="Arial" w:hAnsi="Arial" w:cs="Arial"/>
                <w:b/>
                <w:bCs/>
                <w:sz w:val="24"/>
              </w:rPr>
              <w:t>8,416</w:t>
            </w:r>
          </w:p>
        </w:tc>
      </w:tr>
    </w:tbl>
    <w:p w14:paraId="63950682" w14:textId="77777777" w:rsidR="006F2F32" w:rsidRDefault="006F2F32" w:rsidP="006F2F32">
      <w:pPr>
        <w:pStyle w:val="TextR"/>
        <w:ind w:left="567" w:hanging="567"/>
      </w:pPr>
    </w:p>
    <w:p w14:paraId="634BAC4A" w14:textId="77777777" w:rsidR="004A677E" w:rsidRDefault="004A677E" w:rsidP="006941F9">
      <w:pPr>
        <w:pStyle w:val="TextR"/>
      </w:pPr>
    </w:p>
    <w:p w14:paraId="58B4647E" w14:textId="57B63B8C" w:rsidR="00036EE2" w:rsidRDefault="007A38B5" w:rsidP="00567DB4">
      <w:pPr>
        <w:pStyle w:val="TextR"/>
        <w:ind w:left="567" w:hanging="567"/>
        <w:rPr>
          <w:bCs/>
        </w:rPr>
      </w:pPr>
      <w:r>
        <w:rPr>
          <w:b/>
          <w:bCs/>
        </w:rPr>
        <w:t xml:space="preserve">Agenda Item </w:t>
      </w:r>
      <w:r w:rsidR="00D111E3">
        <w:rPr>
          <w:b/>
          <w:bCs/>
        </w:rPr>
        <w:t xml:space="preserve">3 </w:t>
      </w:r>
      <w:r w:rsidR="00BC03F2">
        <w:rPr>
          <w:b/>
          <w:bCs/>
        </w:rPr>
        <w:t>–</w:t>
      </w:r>
      <w:r w:rsidR="00D111E3">
        <w:rPr>
          <w:b/>
          <w:bCs/>
        </w:rPr>
        <w:t xml:space="preserve"> </w:t>
      </w:r>
      <w:r w:rsidR="00E90DC3">
        <w:rPr>
          <w:b/>
        </w:rPr>
        <w:t>Schools Contribution to Capital Maintenance</w:t>
      </w:r>
    </w:p>
    <w:p w14:paraId="3BCA465D" w14:textId="77777777" w:rsidR="00D23598" w:rsidRDefault="00D23598" w:rsidP="00567DB4">
      <w:pPr>
        <w:pStyle w:val="TextR"/>
        <w:ind w:left="567" w:hanging="567"/>
        <w:rPr>
          <w:bCs/>
        </w:rPr>
      </w:pPr>
    </w:p>
    <w:p w14:paraId="2F3D2E18" w14:textId="52C081A0" w:rsidR="00762D70" w:rsidRPr="00762D70" w:rsidRDefault="00762D70" w:rsidP="00762D70">
      <w:pPr>
        <w:rPr>
          <w:b/>
        </w:rPr>
      </w:pPr>
      <w:r>
        <w:rPr>
          <w:b/>
        </w:rPr>
        <w:t>Recommendation</w:t>
      </w:r>
      <w:r w:rsidR="00BC03F2">
        <w:rPr>
          <w:b/>
        </w:rPr>
        <w:t>s</w:t>
      </w:r>
    </w:p>
    <w:p w14:paraId="7351DB47" w14:textId="77777777" w:rsidR="00762D70" w:rsidRDefault="00762D70" w:rsidP="00762D70">
      <w:pPr>
        <w:rPr>
          <w:bCs/>
        </w:rPr>
      </w:pPr>
    </w:p>
    <w:p w14:paraId="74DDDC51" w14:textId="77777777" w:rsidR="00C269BB" w:rsidRDefault="006D645B" w:rsidP="006D645B">
      <w:pPr>
        <w:pStyle w:val="TextR"/>
        <w:ind w:left="567" w:hanging="567"/>
      </w:pPr>
      <w:r>
        <w:t>2.1</w:t>
      </w:r>
      <w:r>
        <w:tab/>
      </w:r>
      <w:r w:rsidR="00C77F78">
        <w:t>M</w:t>
      </w:r>
      <w:r w:rsidR="00096ECE">
        <w:t>aintained school members agree</w:t>
      </w:r>
      <w:r w:rsidR="00C77F78">
        <w:t>d</w:t>
      </w:r>
      <w:r w:rsidR="00096ECE">
        <w:t xml:space="preserve"> to increase school contributions from £40 per pupil up to £50 per pupil, using the tiered approach at 4.5 from 1</w:t>
      </w:r>
      <w:r w:rsidR="00096ECE" w:rsidRPr="00ED1F91">
        <w:rPr>
          <w:vertAlign w:val="superscript"/>
        </w:rPr>
        <w:t>st</w:t>
      </w:r>
      <w:r w:rsidR="00096ECE">
        <w:t xml:space="preserve"> April 2024.</w:t>
      </w:r>
    </w:p>
    <w:p w14:paraId="5E7B57A7" w14:textId="77777777" w:rsidR="00C269BB" w:rsidRDefault="00C269BB" w:rsidP="006D645B">
      <w:pPr>
        <w:pStyle w:val="TextR"/>
        <w:ind w:left="567" w:hanging="567"/>
      </w:pPr>
    </w:p>
    <w:p w14:paraId="6CA54BD0" w14:textId="5382B1E7" w:rsidR="00C269BB" w:rsidRDefault="00C269BB" w:rsidP="00C269BB">
      <w:pPr>
        <w:pStyle w:val="TextR"/>
        <w:ind w:left="1134" w:hanging="567"/>
      </w:pPr>
      <w:r>
        <w:t>4.5</w:t>
      </w:r>
      <w:r>
        <w:tab/>
      </w:r>
      <w:r>
        <w:t>It is proposed to use the DfE recommended level of revenue balances, as used in the balances criteria within the Falling Rolls Fund, to determine the contributions each school should make. The proposed tier approach is detailed below.</w:t>
      </w:r>
    </w:p>
    <w:p w14:paraId="1C5A502B" w14:textId="77777777" w:rsidR="00C269BB" w:rsidRDefault="00C269BB" w:rsidP="00C269BB">
      <w:pPr>
        <w:pStyle w:val="TextR"/>
        <w:ind w:left="567" w:hanging="567"/>
      </w:pPr>
    </w:p>
    <w:p w14:paraId="4FC240C9" w14:textId="77777777" w:rsidR="00C269BB" w:rsidRDefault="00C269BB" w:rsidP="00C269BB">
      <w:pPr>
        <w:pStyle w:val="TextR"/>
        <w:numPr>
          <w:ilvl w:val="0"/>
          <w:numId w:val="11"/>
        </w:numPr>
      </w:pPr>
      <w:r>
        <w:t>Small primary schools with 210 pupils or fewer with revenue balances of £60,000 or up to 8%, whichever is the higher, will continue to contribute £40 per pupil.</w:t>
      </w:r>
      <w:r>
        <w:br/>
      </w:r>
    </w:p>
    <w:p w14:paraId="6A3C3D94" w14:textId="77777777" w:rsidR="00C269BB" w:rsidRDefault="00C269BB" w:rsidP="00C269BB">
      <w:pPr>
        <w:pStyle w:val="TextR"/>
        <w:numPr>
          <w:ilvl w:val="0"/>
          <w:numId w:val="11"/>
        </w:numPr>
      </w:pPr>
      <w:r>
        <w:t>Primary schools with 211 pupils or more with revenue balances below 8% and secondary schools with revenue balances below 5%, will continue to contribute £40 per pupil.</w:t>
      </w:r>
      <w:r>
        <w:br/>
      </w:r>
    </w:p>
    <w:p w14:paraId="24133973" w14:textId="77777777" w:rsidR="00C269BB" w:rsidRDefault="00C269BB" w:rsidP="00C269BB">
      <w:pPr>
        <w:pStyle w:val="TextR"/>
        <w:numPr>
          <w:ilvl w:val="0"/>
          <w:numId w:val="11"/>
        </w:numPr>
      </w:pPr>
      <w:r>
        <w:t>Schools with revenue balances above 8% (above 5% for secondary schools) but less than 20% will contribute £45 per pupil.</w:t>
      </w:r>
      <w:r>
        <w:br/>
      </w:r>
    </w:p>
    <w:p w14:paraId="0C27C6EF" w14:textId="4828699E" w:rsidR="00040D6C" w:rsidRDefault="00C269BB" w:rsidP="00D1375A">
      <w:pPr>
        <w:pStyle w:val="TextR"/>
        <w:numPr>
          <w:ilvl w:val="0"/>
          <w:numId w:val="11"/>
        </w:numPr>
      </w:pPr>
      <w:r>
        <w:t>Schools with revenue balances of 20% or higher will contribute £50 per pupil.</w:t>
      </w:r>
      <w:r w:rsidR="00E507A3">
        <w:br/>
      </w:r>
    </w:p>
    <w:p w14:paraId="7260BC91" w14:textId="77777777" w:rsidR="00B94016" w:rsidRDefault="00B94016" w:rsidP="005249D0">
      <w:pPr>
        <w:pStyle w:val="TextR"/>
        <w:ind w:left="567" w:hanging="567"/>
        <w:rPr>
          <w:b/>
          <w:bCs/>
        </w:rPr>
      </w:pPr>
    </w:p>
    <w:p w14:paraId="1864974D" w14:textId="77777777" w:rsidR="00B94016" w:rsidRDefault="00B94016" w:rsidP="005249D0">
      <w:pPr>
        <w:pStyle w:val="TextR"/>
        <w:ind w:left="567" w:hanging="567"/>
        <w:rPr>
          <w:b/>
          <w:bCs/>
        </w:rPr>
      </w:pPr>
    </w:p>
    <w:p w14:paraId="22DC7E02" w14:textId="77777777" w:rsidR="00B94016" w:rsidRDefault="00B94016" w:rsidP="005249D0">
      <w:pPr>
        <w:pStyle w:val="TextR"/>
        <w:ind w:left="567" w:hanging="567"/>
        <w:rPr>
          <w:b/>
          <w:bCs/>
        </w:rPr>
      </w:pPr>
    </w:p>
    <w:p w14:paraId="083D1BB2" w14:textId="77777777" w:rsidR="00B94016" w:rsidRDefault="00B94016" w:rsidP="005249D0">
      <w:pPr>
        <w:pStyle w:val="TextR"/>
        <w:ind w:left="567" w:hanging="567"/>
        <w:rPr>
          <w:b/>
          <w:bCs/>
        </w:rPr>
      </w:pPr>
    </w:p>
    <w:p w14:paraId="0872A1CF" w14:textId="77777777" w:rsidR="00B94016" w:rsidRDefault="00B94016" w:rsidP="005249D0">
      <w:pPr>
        <w:pStyle w:val="TextR"/>
        <w:ind w:left="567" w:hanging="567"/>
        <w:rPr>
          <w:b/>
          <w:bCs/>
        </w:rPr>
      </w:pPr>
    </w:p>
    <w:p w14:paraId="59080196" w14:textId="77777777" w:rsidR="00B94016" w:rsidRDefault="00B94016" w:rsidP="005249D0">
      <w:pPr>
        <w:pStyle w:val="TextR"/>
        <w:ind w:left="567" w:hanging="567"/>
        <w:rPr>
          <w:b/>
          <w:bCs/>
        </w:rPr>
      </w:pPr>
    </w:p>
    <w:p w14:paraId="01CACEC4" w14:textId="30B6347A" w:rsidR="00B8645E" w:rsidRDefault="00B8645E" w:rsidP="005249D0">
      <w:pPr>
        <w:pStyle w:val="TextR"/>
        <w:ind w:left="567" w:hanging="567"/>
        <w:rPr>
          <w:b/>
          <w:bCs/>
        </w:rPr>
      </w:pPr>
      <w:r>
        <w:rPr>
          <w:b/>
          <w:bCs/>
        </w:rPr>
        <w:t xml:space="preserve">Agenda Item 4 </w:t>
      </w:r>
      <w:r w:rsidR="00BF2225">
        <w:rPr>
          <w:b/>
          <w:bCs/>
        </w:rPr>
        <w:t>–</w:t>
      </w:r>
      <w:r>
        <w:rPr>
          <w:b/>
          <w:bCs/>
        </w:rPr>
        <w:t xml:space="preserve"> </w:t>
      </w:r>
      <w:r w:rsidR="00F6373B">
        <w:rPr>
          <w:b/>
          <w:bCs/>
        </w:rPr>
        <w:t>Early Years Funding 2023/24</w:t>
      </w:r>
    </w:p>
    <w:p w14:paraId="54857BD0" w14:textId="77777777" w:rsidR="00BF2225" w:rsidRDefault="00BF2225" w:rsidP="005249D0">
      <w:pPr>
        <w:pStyle w:val="TextR"/>
        <w:ind w:left="567" w:hanging="567"/>
        <w:rPr>
          <w:b/>
          <w:bCs/>
        </w:rPr>
      </w:pPr>
    </w:p>
    <w:p w14:paraId="30830472" w14:textId="2913D5B4" w:rsidR="00BF2225" w:rsidRDefault="00BF2225" w:rsidP="005249D0">
      <w:pPr>
        <w:pStyle w:val="TextR"/>
        <w:ind w:left="567" w:hanging="567"/>
      </w:pPr>
      <w:r>
        <w:rPr>
          <w:b/>
          <w:bCs/>
        </w:rPr>
        <w:t>Recommendations</w:t>
      </w:r>
    </w:p>
    <w:p w14:paraId="316AC758" w14:textId="77777777" w:rsidR="00BF2225" w:rsidRDefault="00BF2225" w:rsidP="005249D0">
      <w:pPr>
        <w:pStyle w:val="TextR"/>
        <w:ind w:left="567" w:hanging="567"/>
      </w:pPr>
    </w:p>
    <w:p w14:paraId="4921FDD9" w14:textId="2331CC75" w:rsidR="00476879" w:rsidRDefault="00517975" w:rsidP="00476879">
      <w:pPr>
        <w:pStyle w:val="TextR"/>
        <w:ind w:left="567" w:hanging="567"/>
        <w:jc w:val="both"/>
      </w:pPr>
      <w:r>
        <w:t>2.1</w:t>
      </w:r>
      <w:r>
        <w:tab/>
      </w:r>
      <w:r w:rsidR="00B94016">
        <w:t>Schools Forum</w:t>
      </w:r>
      <w:r w:rsidR="00476879">
        <w:t xml:space="preserve"> agree</w:t>
      </w:r>
      <w:r w:rsidR="00B94016">
        <w:t>d</w:t>
      </w:r>
      <w:r w:rsidR="00476879">
        <w:t xml:space="preserve"> to distribute the former teachers pay and pension grants via a Quality Supplement to all eligible schools.</w:t>
      </w:r>
    </w:p>
    <w:p w14:paraId="38143B62" w14:textId="77777777" w:rsidR="00476879" w:rsidRDefault="00476879" w:rsidP="00476879">
      <w:pPr>
        <w:pStyle w:val="TextR"/>
        <w:ind w:left="567" w:hanging="567"/>
        <w:jc w:val="both"/>
      </w:pPr>
    </w:p>
    <w:p w14:paraId="7B36F85D" w14:textId="76F3F775" w:rsidR="00476879" w:rsidRDefault="00476879" w:rsidP="00476879">
      <w:pPr>
        <w:pStyle w:val="TextR"/>
        <w:ind w:left="567" w:hanging="567"/>
        <w:jc w:val="both"/>
      </w:pPr>
      <w:r>
        <w:t>2.2</w:t>
      </w:r>
      <w:r>
        <w:tab/>
      </w:r>
      <w:r w:rsidR="00B94016">
        <w:t>Schools Forum noted</w:t>
      </w:r>
      <w:r>
        <w:t xml:space="preserve"> the details of the additional funding from September 2023.</w:t>
      </w:r>
    </w:p>
    <w:p w14:paraId="06E2F8DB" w14:textId="77777777" w:rsidR="00476879" w:rsidRDefault="00476879" w:rsidP="00476879">
      <w:pPr>
        <w:pStyle w:val="TextR"/>
        <w:ind w:left="567" w:hanging="567"/>
        <w:jc w:val="both"/>
      </w:pPr>
    </w:p>
    <w:p w14:paraId="4C71A0C8" w14:textId="59A856A9" w:rsidR="00476879" w:rsidRDefault="00476879" w:rsidP="00476879">
      <w:pPr>
        <w:pStyle w:val="TextR"/>
        <w:ind w:left="567" w:hanging="567"/>
        <w:jc w:val="both"/>
      </w:pPr>
      <w:r>
        <w:t>2.3</w:t>
      </w:r>
      <w:r>
        <w:tab/>
      </w:r>
      <w:r w:rsidR="00B94016">
        <w:t>Schools Forum approved</w:t>
      </w:r>
      <w:r>
        <w:t xml:space="preserve"> to delegate the decision to increase funding rates for 2023/24 to the Chair and Vice-Chair of Schools Forum in consultation with the two early years representatives.</w:t>
      </w:r>
    </w:p>
    <w:p w14:paraId="17015BD9" w14:textId="77777777" w:rsidR="00B94016" w:rsidRDefault="00B94016" w:rsidP="005249D0">
      <w:pPr>
        <w:pStyle w:val="TextR"/>
        <w:ind w:left="567" w:hanging="567"/>
        <w:rPr>
          <w:b/>
          <w:bCs/>
        </w:rPr>
      </w:pPr>
    </w:p>
    <w:p w14:paraId="304A94E3" w14:textId="0BBE1A3D" w:rsidR="00C34BD3" w:rsidRDefault="00140CDD" w:rsidP="005249D0">
      <w:pPr>
        <w:pStyle w:val="TextR"/>
        <w:ind w:left="567" w:hanging="567"/>
      </w:pPr>
      <w:r>
        <w:rPr>
          <w:b/>
          <w:bCs/>
        </w:rPr>
        <w:t xml:space="preserve">Agenda Item 5 – </w:t>
      </w:r>
      <w:r w:rsidR="00F6373B">
        <w:rPr>
          <w:b/>
          <w:bCs/>
        </w:rPr>
        <w:t>Falling Rolls Fund</w:t>
      </w:r>
    </w:p>
    <w:p w14:paraId="54FAA62E" w14:textId="77777777" w:rsidR="00140CDD" w:rsidRDefault="00140CDD" w:rsidP="005249D0">
      <w:pPr>
        <w:pStyle w:val="TextR"/>
        <w:ind w:left="567" w:hanging="567"/>
      </w:pPr>
    </w:p>
    <w:p w14:paraId="7E18D7AF" w14:textId="2BD44475" w:rsidR="00140CDD" w:rsidRDefault="00316F9F" w:rsidP="005249D0">
      <w:pPr>
        <w:pStyle w:val="TextR"/>
        <w:ind w:left="567" w:hanging="567"/>
      </w:pPr>
      <w:r>
        <w:rPr>
          <w:b/>
          <w:bCs/>
        </w:rPr>
        <w:t>Recommendations</w:t>
      </w:r>
    </w:p>
    <w:p w14:paraId="51D8134C" w14:textId="77777777" w:rsidR="00316F9F" w:rsidRDefault="00316F9F" w:rsidP="005249D0">
      <w:pPr>
        <w:pStyle w:val="TextR"/>
        <w:ind w:left="567" w:hanging="567"/>
      </w:pPr>
    </w:p>
    <w:p w14:paraId="2F395B41" w14:textId="642E13C4" w:rsidR="00E354A3" w:rsidRDefault="00316F9F" w:rsidP="00E354A3">
      <w:pPr>
        <w:pStyle w:val="TextR"/>
        <w:ind w:left="567" w:hanging="567"/>
      </w:pPr>
      <w:r>
        <w:t>2.1</w:t>
      </w:r>
      <w:r>
        <w:tab/>
      </w:r>
      <w:r w:rsidR="00E354A3">
        <w:t>Schools Forum agreed</w:t>
      </w:r>
      <w:r w:rsidR="00E354A3">
        <w:t xml:space="preserve"> that Finchingfield Academy receives Falling Rolls funding for 2023/24.</w:t>
      </w:r>
    </w:p>
    <w:p w14:paraId="466E8EED" w14:textId="77777777" w:rsidR="00E354A3" w:rsidRDefault="00E354A3" w:rsidP="00E354A3">
      <w:pPr>
        <w:pStyle w:val="TextR"/>
        <w:ind w:left="567" w:hanging="567"/>
      </w:pPr>
    </w:p>
    <w:p w14:paraId="1A6DEA6C" w14:textId="01DFFF69" w:rsidR="00E354A3" w:rsidRPr="00EB38A8" w:rsidRDefault="00E354A3" w:rsidP="00E354A3">
      <w:pPr>
        <w:pStyle w:val="TextR"/>
        <w:ind w:left="567" w:hanging="567"/>
      </w:pPr>
      <w:r>
        <w:t>2.2</w:t>
      </w:r>
      <w:r>
        <w:tab/>
      </w:r>
      <w:r w:rsidR="0033750D">
        <w:t>Schools Forum approved</w:t>
      </w:r>
      <w:r>
        <w:t xml:space="preserve"> the Falling Rolls Fund is increased by </w:t>
      </w:r>
      <w:r>
        <w:rPr>
          <w:b/>
          <w:bCs/>
        </w:rPr>
        <w:t xml:space="preserve">£58,000 </w:t>
      </w:r>
      <w:r>
        <w:t>to be funded from the Schools Block underspend in 2022/23.</w:t>
      </w:r>
    </w:p>
    <w:p w14:paraId="24948A76" w14:textId="05C7004A" w:rsidR="0016628C" w:rsidRPr="00316F9F" w:rsidRDefault="000B0EBD" w:rsidP="00E354A3">
      <w:pPr>
        <w:pStyle w:val="TextR"/>
        <w:ind w:left="567" w:hanging="567"/>
      </w:pPr>
      <w:r>
        <w:t>.</w:t>
      </w:r>
    </w:p>
    <w:p w14:paraId="0F860AF4" w14:textId="761C3C6C" w:rsidR="006D645B" w:rsidRDefault="006D645B" w:rsidP="006D645B">
      <w:pPr>
        <w:pStyle w:val="TextR"/>
        <w:ind w:left="567" w:hanging="567"/>
      </w:pPr>
      <w:r>
        <w:br/>
      </w:r>
    </w:p>
    <w:p w14:paraId="67D796EB" w14:textId="77777777" w:rsidR="002C530B" w:rsidRDefault="002C530B" w:rsidP="006D645B">
      <w:pPr>
        <w:pStyle w:val="TextR"/>
        <w:ind w:left="567" w:hanging="567"/>
      </w:pPr>
    </w:p>
    <w:p w14:paraId="0ED467A1" w14:textId="77777777" w:rsidR="005E35E5" w:rsidRDefault="005E35E5" w:rsidP="00762D70">
      <w:pPr>
        <w:ind w:left="567" w:hanging="567"/>
      </w:pPr>
    </w:p>
    <w:sectPr w:rsidR="005E35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10DF" w14:textId="77777777" w:rsidR="00F85CFA" w:rsidRDefault="00F85CFA" w:rsidP="00036EE2">
      <w:r>
        <w:separator/>
      </w:r>
    </w:p>
  </w:endnote>
  <w:endnote w:type="continuationSeparator" w:id="0">
    <w:p w14:paraId="2A2D4A96" w14:textId="77777777" w:rsidR="00F85CFA" w:rsidRDefault="00F85CFA" w:rsidP="0003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17DF" w14:textId="77777777" w:rsidR="00F85CFA" w:rsidRDefault="00F85CFA" w:rsidP="00036EE2">
      <w:r>
        <w:separator/>
      </w:r>
    </w:p>
  </w:footnote>
  <w:footnote w:type="continuationSeparator" w:id="0">
    <w:p w14:paraId="40F724DB" w14:textId="77777777" w:rsidR="00F85CFA" w:rsidRDefault="00F85CFA" w:rsidP="00036EE2">
      <w:r>
        <w:continuationSeparator/>
      </w:r>
    </w:p>
  </w:footnote>
  <w:footnote w:id="1">
    <w:p w14:paraId="4500676D" w14:textId="77777777" w:rsidR="004A677E" w:rsidRDefault="004A677E" w:rsidP="004A677E">
      <w:pPr>
        <w:pStyle w:val="FootnoteText"/>
      </w:pPr>
      <w:r>
        <w:rPr>
          <w:rStyle w:val="FootnoteReference"/>
        </w:rPr>
        <w:footnoteRef/>
      </w:r>
      <w:r>
        <w:t xml:space="preserve"> Funding for 2024/25 will be based on balances at 31/03/24 for maintained schools and 31/08/23 for academies.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70A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910C6"/>
    <w:multiLevelType w:val="hybridMultilevel"/>
    <w:tmpl w:val="74CC5A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3E35B57"/>
    <w:multiLevelType w:val="hybridMultilevel"/>
    <w:tmpl w:val="5A96C4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147A42C8"/>
    <w:multiLevelType w:val="hybridMultilevel"/>
    <w:tmpl w:val="364C5312"/>
    <w:lvl w:ilvl="0" w:tplc="D348331C">
      <w:start w:val="1"/>
      <w:numFmt w:val="bullet"/>
      <w:lvlText w:val=""/>
      <w:lvlJc w:val="left"/>
      <w:pPr>
        <w:ind w:left="720" w:hanging="360"/>
      </w:pPr>
      <w:rPr>
        <w:rFonts w:ascii="Symbol" w:hAnsi="Symbol" w:hint="default"/>
        <w:b/>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900F2F"/>
    <w:multiLevelType w:val="multilevel"/>
    <w:tmpl w:val="87346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934113"/>
    <w:multiLevelType w:val="multilevel"/>
    <w:tmpl w:val="7EA86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CF2993"/>
    <w:multiLevelType w:val="hybridMultilevel"/>
    <w:tmpl w:val="16F06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0E39B0"/>
    <w:multiLevelType w:val="hybridMultilevel"/>
    <w:tmpl w:val="82EC1C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5130E3"/>
    <w:multiLevelType w:val="hybridMultilevel"/>
    <w:tmpl w:val="5BFE90FC"/>
    <w:lvl w:ilvl="0" w:tplc="D348331C">
      <w:start w:val="1"/>
      <w:numFmt w:val="bullet"/>
      <w:lvlText w:val=""/>
      <w:lvlJc w:val="left"/>
      <w:pPr>
        <w:ind w:left="720" w:hanging="360"/>
      </w:pPr>
      <w:rPr>
        <w:rFonts w:ascii="Symbol" w:hAnsi="Symbol" w:hint="default"/>
        <w:b/>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016F4"/>
    <w:multiLevelType w:val="multilevel"/>
    <w:tmpl w:val="8FE6FB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1030D6"/>
    <w:multiLevelType w:val="hybridMultilevel"/>
    <w:tmpl w:val="8486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E154A"/>
    <w:multiLevelType w:val="multilevel"/>
    <w:tmpl w:val="BC08FFC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22705BE"/>
    <w:multiLevelType w:val="hybridMultilevel"/>
    <w:tmpl w:val="DAD6F546"/>
    <w:lvl w:ilvl="0" w:tplc="D348331C">
      <w:start w:val="1"/>
      <w:numFmt w:val="bullet"/>
      <w:lvlText w:val=""/>
      <w:lvlJc w:val="left"/>
      <w:pPr>
        <w:ind w:left="720" w:hanging="360"/>
      </w:pPr>
      <w:rPr>
        <w:rFonts w:ascii="Symbol" w:hAnsi="Symbol" w:hint="default"/>
        <w:b/>
        <w:b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30F08"/>
    <w:multiLevelType w:val="multilevel"/>
    <w:tmpl w:val="98209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8095807">
    <w:abstractNumId w:val="0"/>
  </w:num>
  <w:num w:numId="2" w16cid:durableId="1464078938">
    <w:abstractNumId w:val="3"/>
  </w:num>
  <w:num w:numId="3" w16cid:durableId="1629508893">
    <w:abstractNumId w:val="5"/>
  </w:num>
  <w:num w:numId="4" w16cid:durableId="618494475">
    <w:abstractNumId w:val="14"/>
  </w:num>
  <w:num w:numId="5" w16cid:durableId="2098092396">
    <w:abstractNumId w:val="10"/>
  </w:num>
  <w:num w:numId="6" w16cid:durableId="1727415606">
    <w:abstractNumId w:val="9"/>
  </w:num>
  <w:num w:numId="7" w16cid:durableId="1534151954">
    <w:abstractNumId w:val="6"/>
  </w:num>
  <w:num w:numId="8" w16cid:durableId="1584147197">
    <w:abstractNumId w:val="1"/>
  </w:num>
  <w:num w:numId="9" w16cid:durableId="631636631">
    <w:abstractNumId w:val="7"/>
  </w:num>
  <w:num w:numId="10" w16cid:durableId="743260301">
    <w:abstractNumId w:val="8"/>
  </w:num>
  <w:num w:numId="11" w16cid:durableId="16544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16"/>
    <w:rsid w:val="00035698"/>
    <w:rsid w:val="00036EE2"/>
    <w:rsid w:val="00040D6C"/>
    <w:rsid w:val="00064839"/>
    <w:rsid w:val="00065178"/>
    <w:rsid w:val="000842AE"/>
    <w:rsid w:val="00086D82"/>
    <w:rsid w:val="00096ECE"/>
    <w:rsid w:val="000B06C5"/>
    <w:rsid w:val="000B0EBD"/>
    <w:rsid w:val="000D4C1E"/>
    <w:rsid w:val="00101DB5"/>
    <w:rsid w:val="001021E1"/>
    <w:rsid w:val="00111EA3"/>
    <w:rsid w:val="00140CDD"/>
    <w:rsid w:val="0016628C"/>
    <w:rsid w:val="00192280"/>
    <w:rsid w:val="00207818"/>
    <w:rsid w:val="00254C7C"/>
    <w:rsid w:val="002563D0"/>
    <w:rsid w:val="00275DB5"/>
    <w:rsid w:val="002B19F3"/>
    <w:rsid w:val="002C530B"/>
    <w:rsid w:val="002C6458"/>
    <w:rsid w:val="002F672F"/>
    <w:rsid w:val="003058A9"/>
    <w:rsid w:val="00316F9F"/>
    <w:rsid w:val="003308B6"/>
    <w:rsid w:val="0033750D"/>
    <w:rsid w:val="003521E4"/>
    <w:rsid w:val="00361C0E"/>
    <w:rsid w:val="00365EAC"/>
    <w:rsid w:val="003762C0"/>
    <w:rsid w:val="003A1108"/>
    <w:rsid w:val="003A1E2C"/>
    <w:rsid w:val="003A4AFC"/>
    <w:rsid w:val="003D4988"/>
    <w:rsid w:val="003D78DE"/>
    <w:rsid w:val="003E4FB8"/>
    <w:rsid w:val="003F42CC"/>
    <w:rsid w:val="00476879"/>
    <w:rsid w:val="0049183B"/>
    <w:rsid w:val="004A0025"/>
    <w:rsid w:val="004A1D51"/>
    <w:rsid w:val="004A677E"/>
    <w:rsid w:val="004C2D4C"/>
    <w:rsid w:val="004D3BEC"/>
    <w:rsid w:val="00517975"/>
    <w:rsid w:val="005249D0"/>
    <w:rsid w:val="00567DB4"/>
    <w:rsid w:val="0058052A"/>
    <w:rsid w:val="00580541"/>
    <w:rsid w:val="00590361"/>
    <w:rsid w:val="005C7BB1"/>
    <w:rsid w:val="005D6D4D"/>
    <w:rsid w:val="005E35E5"/>
    <w:rsid w:val="005E67DB"/>
    <w:rsid w:val="005E7C71"/>
    <w:rsid w:val="005E7E71"/>
    <w:rsid w:val="00614AF8"/>
    <w:rsid w:val="00625A85"/>
    <w:rsid w:val="006361F8"/>
    <w:rsid w:val="00674A94"/>
    <w:rsid w:val="006941F9"/>
    <w:rsid w:val="006D21AA"/>
    <w:rsid w:val="006D645B"/>
    <w:rsid w:val="006F0C19"/>
    <w:rsid w:val="006F2F32"/>
    <w:rsid w:val="006F5ACF"/>
    <w:rsid w:val="006F6470"/>
    <w:rsid w:val="0070265F"/>
    <w:rsid w:val="00716821"/>
    <w:rsid w:val="00762D70"/>
    <w:rsid w:val="007815E1"/>
    <w:rsid w:val="007A38B5"/>
    <w:rsid w:val="007C680E"/>
    <w:rsid w:val="007C7A4F"/>
    <w:rsid w:val="007F2197"/>
    <w:rsid w:val="007F2BDB"/>
    <w:rsid w:val="00830EE3"/>
    <w:rsid w:val="00836E02"/>
    <w:rsid w:val="008A4FB1"/>
    <w:rsid w:val="008B3424"/>
    <w:rsid w:val="008D790C"/>
    <w:rsid w:val="00922324"/>
    <w:rsid w:val="009324F2"/>
    <w:rsid w:val="00982AAF"/>
    <w:rsid w:val="009C1FF4"/>
    <w:rsid w:val="009D711D"/>
    <w:rsid w:val="00A14DC8"/>
    <w:rsid w:val="00A3040B"/>
    <w:rsid w:val="00A42547"/>
    <w:rsid w:val="00A54D47"/>
    <w:rsid w:val="00A54FB0"/>
    <w:rsid w:val="00A72334"/>
    <w:rsid w:val="00A760DB"/>
    <w:rsid w:val="00A76C4E"/>
    <w:rsid w:val="00AB49DB"/>
    <w:rsid w:val="00AB52BC"/>
    <w:rsid w:val="00AE6033"/>
    <w:rsid w:val="00AF534E"/>
    <w:rsid w:val="00B16C13"/>
    <w:rsid w:val="00B63E95"/>
    <w:rsid w:val="00B835CB"/>
    <w:rsid w:val="00B8645E"/>
    <w:rsid w:val="00B94016"/>
    <w:rsid w:val="00BB2259"/>
    <w:rsid w:val="00BC03F2"/>
    <w:rsid w:val="00BD6E98"/>
    <w:rsid w:val="00BF2225"/>
    <w:rsid w:val="00C10352"/>
    <w:rsid w:val="00C269BB"/>
    <w:rsid w:val="00C34BD3"/>
    <w:rsid w:val="00C3624E"/>
    <w:rsid w:val="00C47B47"/>
    <w:rsid w:val="00C52185"/>
    <w:rsid w:val="00C53598"/>
    <w:rsid w:val="00C56614"/>
    <w:rsid w:val="00C77F78"/>
    <w:rsid w:val="00C9066C"/>
    <w:rsid w:val="00C927A2"/>
    <w:rsid w:val="00CA0EAF"/>
    <w:rsid w:val="00CA322D"/>
    <w:rsid w:val="00CB2193"/>
    <w:rsid w:val="00CC70DD"/>
    <w:rsid w:val="00CE37E8"/>
    <w:rsid w:val="00CF71AC"/>
    <w:rsid w:val="00D10A64"/>
    <w:rsid w:val="00D111E3"/>
    <w:rsid w:val="00D1375A"/>
    <w:rsid w:val="00D23598"/>
    <w:rsid w:val="00D268EE"/>
    <w:rsid w:val="00D452B0"/>
    <w:rsid w:val="00D57017"/>
    <w:rsid w:val="00D91950"/>
    <w:rsid w:val="00DC1A16"/>
    <w:rsid w:val="00DD2B83"/>
    <w:rsid w:val="00DE3339"/>
    <w:rsid w:val="00DE34F0"/>
    <w:rsid w:val="00E12C5D"/>
    <w:rsid w:val="00E354A3"/>
    <w:rsid w:val="00E44804"/>
    <w:rsid w:val="00E460EE"/>
    <w:rsid w:val="00E507A3"/>
    <w:rsid w:val="00E90DC3"/>
    <w:rsid w:val="00E93961"/>
    <w:rsid w:val="00E94640"/>
    <w:rsid w:val="00EB5C09"/>
    <w:rsid w:val="00EE4F27"/>
    <w:rsid w:val="00F01975"/>
    <w:rsid w:val="00F345ED"/>
    <w:rsid w:val="00F505E0"/>
    <w:rsid w:val="00F516E3"/>
    <w:rsid w:val="00F6373B"/>
    <w:rsid w:val="00F84936"/>
    <w:rsid w:val="00F8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F7CE"/>
  <w15:chartTrackingRefBased/>
  <w15:docId w15:val="{91E84CE9-0E89-4085-A702-32BF893A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16"/>
    <w:pPr>
      <w:spacing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1A16"/>
    <w:pPr>
      <w:spacing w:line="240" w:lineRule="auto"/>
    </w:pPr>
  </w:style>
  <w:style w:type="table" w:styleId="TableGrid">
    <w:name w:val="Table Grid"/>
    <w:basedOn w:val="TableNormal"/>
    <w:uiPriority w:val="39"/>
    <w:rsid w:val="00DC1A16"/>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
    <w:name w:val="TextR"/>
    <w:basedOn w:val="Normal"/>
    <w:rsid w:val="00DC1A16"/>
    <w:pPr>
      <w:overflowPunct w:val="0"/>
      <w:autoSpaceDE w:val="0"/>
      <w:autoSpaceDN w:val="0"/>
      <w:adjustRightInd w:val="0"/>
      <w:textAlignment w:val="baseline"/>
    </w:pPr>
    <w:rPr>
      <w:szCs w:val="20"/>
    </w:rPr>
  </w:style>
  <w:style w:type="character" w:customStyle="1" w:styleId="NoSpacingChar">
    <w:name w:val="No Spacing Char"/>
    <w:link w:val="NoSpacing"/>
    <w:uiPriority w:val="1"/>
    <w:locked/>
    <w:rsid w:val="00D10A64"/>
  </w:style>
  <w:style w:type="paragraph" w:styleId="ListBullet">
    <w:name w:val="List Bullet"/>
    <w:basedOn w:val="Normal"/>
    <w:autoRedefine/>
    <w:rsid w:val="006F6470"/>
    <w:pPr>
      <w:numPr>
        <w:numId w:val="1"/>
      </w:numPr>
    </w:pPr>
  </w:style>
  <w:style w:type="paragraph" w:styleId="ListParagraph">
    <w:name w:val="List Paragraph"/>
    <w:basedOn w:val="Normal"/>
    <w:qFormat/>
    <w:rsid w:val="006F6470"/>
    <w:pPr>
      <w:ind w:left="720"/>
    </w:pPr>
  </w:style>
  <w:style w:type="table" w:styleId="ListTable4-Accent1">
    <w:name w:val="List Table 4 Accent 1"/>
    <w:basedOn w:val="TableNormal"/>
    <w:uiPriority w:val="49"/>
    <w:rsid w:val="000D4C1E"/>
    <w:pPr>
      <w:spacing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D4988"/>
    <w:pPr>
      <w:spacing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rsid w:val="004A677E"/>
    <w:rPr>
      <w:sz w:val="20"/>
      <w:szCs w:val="20"/>
    </w:rPr>
  </w:style>
  <w:style w:type="character" w:customStyle="1" w:styleId="FootnoteTextChar">
    <w:name w:val="Footnote Text Char"/>
    <w:basedOn w:val="DefaultParagraphFont"/>
    <w:link w:val="FootnoteText"/>
    <w:rsid w:val="004A677E"/>
    <w:rPr>
      <w:rFonts w:eastAsia="Times New Roman" w:cs="Times New Roman"/>
      <w:sz w:val="20"/>
      <w:szCs w:val="20"/>
      <w:lang w:eastAsia="en-GB"/>
    </w:rPr>
  </w:style>
  <w:style w:type="character" w:styleId="FootnoteReference">
    <w:name w:val="footnote reference"/>
    <w:basedOn w:val="DefaultParagraphFont"/>
    <w:rsid w:val="004A6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354E3-1F7E-4C46-93A2-EBC1B1AE5273}"/>
</file>

<file path=customXml/itemProps2.xml><?xml version="1.0" encoding="utf-8"?>
<ds:datastoreItem xmlns:ds="http://schemas.openxmlformats.org/officeDocument/2006/customXml" ds:itemID="{69FBE75C-90D0-43A9-BB77-F402FD8D4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01D71-8E1C-4961-A3B2-6BCC3C948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21</cp:revision>
  <dcterms:created xsi:type="dcterms:W3CDTF">2023-09-28T10:32:00Z</dcterms:created>
  <dcterms:modified xsi:type="dcterms:W3CDTF">2023-09-28T13:08:00Z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2022-01-25T11:29:23Z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7b05b0ed-4df4-45f8-bd48-00007c59d46f</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