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1DAA" w14:textId="5A72A3FA" w:rsidR="006F11B2" w:rsidRDefault="006F11B2" w:rsidP="00AA7574">
      <w:pPr>
        <w:pStyle w:val="Title"/>
        <w:contextualSpacing w:val="0"/>
        <w:jc w:val="right"/>
        <w:rPr>
          <w:sz w:val="44"/>
          <w:szCs w:val="72"/>
        </w:rPr>
      </w:pPr>
      <w:r w:rsidRPr="006F11B2">
        <w:rPr>
          <w:noProof/>
          <w:sz w:val="44"/>
          <w:szCs w:val="72"/>
        </w:rPr>
        <w:drawing>
          <wp:inline distT="0" distB="0" distL="0" distR="0" wp14:anchorId="3CB9C721" wp14:editId="53B245FB">
            <wp:extent cx="1905000" cy="896620"/>
            <wp:effectExtent l="0" t="0" r="0" b="0"/>
            <wp:docPr id="7" name="Picture 6" descr="A picture containing drawing&#10;&#10;Description automatically generated">
              <a:extLst xmlns:a="http://schemas.openxmlformats.org/drawingml/2006/main">
                <a:ext uri="{FF2B5EF4-FFF2-40B4-BE49-F238E27FC236}">
                  <a16:creationId xmlns:a16="http://schemas.microsoft.com/office/drawing/2014/main" id="{8163CB3E-AE24-440E-A472-2FA459DEA2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drawing&#10;&#10;Description automatically generated">
                      <a:extLst>
                        <a:ext uri="{FF2B5EF4-FFF2-40B4-BE49-F238E27FC236}">
                          <a16:creationId xmlns:a16="http://schemas.microsoft.com/office/drawing/2014/main" id="{8163CB3E-AE24-440E-A472-2FA459DEA2EF}"/>
                        </a:ext>
                      </a:extLst>
                    </pic:cNvPr>
                    <pic:cNvPicPr>
                      <a:picLocks noChangeAspect="1"/>
                    </pic:cNvPicPr>
                  </pic:nvPicPr>
                  <pic:blipFill rotWithShape="1">
                    <a:blip r:embed="rId12">
                      <a:extLst>
                        <a:ext uri="{28A0092B-C50C-407E-A947-70E740481C1C}">
                          <a14:useLocalDpi xmlns:a14="http://schemas.microsoft.com/office/drawing/2010/main" val="0"/>
                        </a:ext>
                      </a:extLst>
                    </a:blip>
                    <a:srcRect t="4295" b="6135"/>
                    <a:stretch/>
                  </pic:blipFill>
                  <pic:spPr bwMode="auto">
                    <a:xfrm>
                      <a:off x="0" y="0"/>
                      <a:ext cx="1905000" cy="896620"/>
                    </a:xfrm>
                    <a:prstGeom prst="rect">
                      <a:avLst/>
                    </a:prstGeom>
                    <a:ln>
                      <a:noFill/>
                    </a:ln>
                    <a:extLst>
                      <a:ext uri="{53640926-AAD7-44D8-BBD7-CCE9431645EC}">
                        <a14:shadowObscured xmlns:a14="http://schemas.microsoft.com/office/drawing/2010/main"/>
                      </a:ext>
                    </a:extLst>
                  </pic:spPr>
                </pic:pic>
              </a:graphicData>
            </a:graphic>
          </wp:inline>
        </w:drawing>
      </w:r>
    </w:p>
    <w:p w14:paraId="779E91DC" w14:textId="33A4F5B3" w:rsidR="008E299D" w:rsidRPr="006F11B2" w:rsidRDefault="000B31F8" w:rsidP="00B42280">
      <w:pPr>
        <w:pStyle w:val="Title"/>
        <w:contextualSpacing w:val="0"/>
        <w:rPr>
          <w:sz w:val="44"/>
          <w:szCs w:val="72"/>
        </w:rPr>
      </w:pPr>
      <w:r w:rsidRPr="006F11B2">
        <w:rPr>
          <w:sz w:val="44"/>
          <w:szCs w:val="72"/>
        </w:rPr>
        <w:t>SEND in Essex</w:t>
      </w:r>
      <w:r w:rsidR="006F11B2" w:rsidRPr="006F11B2">
        <w:rPr>
          <w:noProof/>
          <w:sz w:val="44"/>
          <w:szCs w:val="72"/>
        </w:rPr>
        <w:t xml:space="preserve"> </w:t>
      </w:r>
    </w:p>
    <w:p w14:paraId="13EADD2E" w14:textId="71357C43" w:rsidR="00F466C1" w:rsidRPr="006F11B2" w:rsidRDefault="00E73EEB" w:rsidP="00E73EEB">
      <w:pPr>
        <w:pStyle w:val="Title"/>
        <w:jc w:val="left"/>
        <w:rPr>
          <w:sz w:val="44"/>
          <w:szCs w:val="72"/>
        </w:rPr>
      </w:pPr>
      <w:r w:rsidRPr="006F11B2">
        <w:rPr>
          <w:sz w:val="44"/>
          <w:szCs w:val="72"/>
        </w:rPr>
        <w:t>Scheme of delegation in respect of decisions relating to Education, Health &amp; Care (EHC) Needs Assessments and Plans</w:t>
      </w:r>
    </w:p>
    <w:p w14:paraId="660E11A5" w14:textId="5F936A41" w:rsidR="00CF4DCD" w:rsidRDefault="00CF4DCD" w:rsidP="000B31F8">
      <w:pPr>
        <w:rPr>
          <w:bCs/>
        </w:rPr>
      </w:pPr>
      <w:bookmarkStart w:id="0" w:name="_Hlk82505752"/>
      <w:bookmarkEnd w:id="0"/>
    </w:p>
    <w:p w14:paraId="5ED533D1" w14:textId="6906A8AD" w:rsidR="00A82B9C" w:rsidRPr="007D5D31" w:rsidRDefault="00A82B9C" w:rsidP="00A82B9C">
      <w:pPr>
        <w:rPr>
          <w:b/>
          <w:bCs/>
          <w:sz w:val="24"/>
          <w:szCs w:val="24"/>
        </w:rPr>
      </w:pPr>
      <w:r w:rsidRPr="007D5D31">
        <w:rPr>
          <w:b/>
          <w:bCs/>
          <w:sz w:val="24"/>
          <w:szCs w:val="24"/>
        </w:rPr>
        <w:t>Version details</w:t>
      </w:r>
    </w:p>
    <w:p w14:paraId="6FA738AC" w14:textId="0E530D8F" w:rsidR="00A541FE" w:rsidRDefault="001155BD" w:rsidP="00A541FE">
      <w:pPr>
        <w:pStyle w:val="ListParagraph"/>
        <w:numPr>
          <w:ilvl w:val="0"/>
          <w:numId w:val="1"/>
        </w:numPr>
      </w:pPr>
      <w:r>
        <w:t xml:space="preserve">Version: </w:t>
      </w:r>
      <w:r w:rsidR="00871525">
        <w:t>1.</w:t>
      </w:r>
      <w:r w:rsidR="00792332">
        <w:t>2</w:t>
      </w:r>
    </w:p>
    <w:p w14:paraId="7DB949C5" w14:textId="220EAA38" w:rsidR="001155BD" w:rsidRDefault="001155BD" w:rsidP="001155BD">
      <w:pPr>
        <w:pStyle w:val="ListParagraph"/>
        <w:numPr>
          <w:ilvl w:val="0"/>
          <w:numId w:val="1"/>
        </w:numPr>
      </w:pPr>
      <w:r>
        <w:t xml:space="preserve">Last updated: </w:t>
      </w:r>
      <w:r w:rsidR="00792332">
        <w:t>7</w:t>
      </w:r>
      <w:r w:rsidR="00792332" w:rsidRPr="00792332">
        <w:rPr>
          <w:vertAlign w:val="superscript"/>
        </w:rPr>
        <w:t>th</w:t>
      </w:r>
      <w:r w:rsidR="00792332">
        <w:t xml:space="preserve"> </w:t>
      </w:r>
      <w:r w:rsidR="006E0C0F">
        <w:t>Feb 24</w:t>
      </w:r>
    </w:p>
    <w:p w14:paraId="53E1C5DB" w14:textId="4D28F1E9" w:rsidR="009D7AA3" w:rsidRDefault="009D7AA3" w:rsidP="001155BD">
      <w:pPr>
        <w:pStyle w:val="ListParagraph"/>
        <w:numPr>
          <w:ilvl w:val="0"/>
          <w:numId w:val="1"/>
        </w:numPr>
      </w:pPr>
      <w:r>
        <w:t xml:space="preserve">Updated by: Alex Abercrombie, </w:t>
      </w:r>
      <w:r w:rsidR="00A541FE">
        <w:t>SEND Transformation Lead</w:t>
      </w:r>
    </w:p>
    <w:p w14:paraId="48501795" w14:textId="6245FF8B" w:rsidR="001155BD" w:rsidRDefault="001155BD" w:rsidP="001155BD">
      <w:pPr>
        <w:pStyle w:val="ListParagraph"/>
        <w:numPr>
          <w:ilvl w:val="0"/>
          <w:numId w:val="1"/>
        </w:numPr>
      </w:pPr>
      <w:r>
        <w:t xml:space="preserve">Date for review: To be reviewed </w:t>
      </w:r>
      <w:r w:rsidR="006E0C0F">
        <w:t>every two years</w:t>
      </w:r>
      <w:r>
        <w:t xml:space="preserve">, with next review in </w:t>
      </w:r>
      <w:r w:rsidR="006E0C0F">
        <w:t>February 2026</w:t>
      </w:r>
    </w:p>
    <w:p w14:paraId="43A58346" w14:textId="59B29550" w:rsidR="001155BD" w:rsidRDefault="001155BD" w:rsidP="001155BD">
      <w:pPr>
        <w:pStyle w:val="ListParagraph"/>
        <w:numPr>
          <w:ilvl w:val="0"/>
          <w:numId w:val="1"/>
        </w:numPr>
      </w:pPr>
      <w:r>
        <w:t xml:space="preserve">Responsibility to review: </w:t>
      </w:r>
      <w:r w:rsidR="008577D7">
        <w:t xml:space="preserve">Ralph Holloway, </w:t>
      </w:r>
      <w:r>
        <w:t>Head of SEND Strategy &amp; Innovation</w:t>
      </w:r>
    </w:p>
    <w:p w14:paraId="2AF046B4" w14:textId="3E66035D" w:rsidR="00A82B9C" w:rsidRDefault="00A82B9C" w:rsidP="000B31F8">
      <w:pPr>
        <w:rPr>
          <w:bCs/>
        </w:rPr>
      </w:pPr>
    </w:p>
    <w:p w14:paraId="3D162B06" w14:textId="3AE29ED2" w:rsidR="00CF4DCD" w:rsidRDefault="00E73EEB" w:rsidP="00401C96">
      <w:pPr>
        <w:pStyle w:val="Heading1"/>
      </w:pPr>
      <w:r>
        <w:t>Introduction and principles</w:t>
      </w:r>
    </w:p>
    <w:p w14:paraId="47D9D7C5" w14:textId="2224B263" w:rsidR="00ED1B4F" w:rsidRDefault="00280C08" w:rsidP="00ED1B4F">
      <w:pPr>
        <w:pStyle w:val="Heading2"/>
      </w:pPr>
      <w:r>
        <w:t>The purpose of this document</w:t>
      </w:r>
    </w:p>
    <w:p w14:paraId="5170DD8C" w14:textId="3C3246C5" w:rsidR="00FA76C4" w:rsidRDefault="00FA76C4" w:rsidP="00FA76C4">
      <w:r w:rsidRPr="00C65503">
        <w:rPr>
          <w:szCs w:val="24"/>
        </w:rPr>
        <w:t xml:space="preserve">The </w:t>
      </w:r>
      <w:r>
        <w:rPr>
          <w:szCs w:val="24"/>
        </w:rPr>
        <w:t>s</w:t>
      </w:r>
      <w:r w:rsidRPr="00C65503">
        <w:rPr>
          <w:szCs w:val="24"/>
        </w:rPr>
        <w:t xml:space="preserve">cheme of </w:t>
      </w:r>
      <w:r>
        <w:rPr>
          <w:szCs w:val="24"/>
        </w:rPr>
        <w:t>d</w:t>
      </w:r>
      <w:r w:rsidRPr="00C65503">
        <w:rPr>
          <w:szCs w:val="24"/>
        </w:rPr>
        <w:t xml:space="preserve">elegation </w:t>
      </w:r>
      <w:r w:rsidR="009D7AA3">
        <w:rPr>
          <w:szCs w:val="24"/>
        </w:rPr>
        <w:t>sets out the</w:t>
      </w:r>
      <w:r w:rsidR="009A40FE">
        <w:rPr>
          <w:szCs w:val="24"/>
        </w:rPr>
        <w:t xml:space="preserve"> </w:t>
      </w:r>
      <w:r w:rsidRPr="00C65503">
        <w:rPr>
          <w:szCs w:val="24"/>
        </w:rPr>
        <w:t>delegated powers related to SEND and/or allocation of additional resources</w:t>
      </w:r>
      <w:r>
        <w:rPr>
          <w:szCs w:val="24"/>
        </w:rPr>
        <w:t xml:space="preserve">. </w:t>
      </w:r>
      <w:r w:rsidRPr="00C65503">
        <w:rPr>
          <w:szCs w:val="24"/>
        </w:rPr>
        <w:t>It empowers officers of the Council to take decisions on behalf of the Director of Children Services to ensure that the Council meets its obligations under the Children and Families Act 2014</w:t>
      </w:r>
      <w:r w:rsidR="009D7AA3">
        <w:rPr>
          <w:szCs w:val="24"/>
        </w:rPr>
        <w:t>, SEND Code of Practice 2015</w:t>
      </w:r>
      <w:r w:rsidRPr="00C65503">
        <w:rPr>
          <w:szCs w:val="24"/>
        </w:rPr>
        <w:t xml:space="preserve"> and relevant financial regulations</w:t>
      </w:r>
      <w:r>
        <w:rPr>
          <w:szCs w:val="24"/>
        </w:rPr>
        <w:t>.</w:t>
      </w:r>
    </w:p>
    <w:p w14:paraId="71F024E4" w14:textId="63BF6628" w:rsidR="00FA76C4" w:rsidRDefault="00FA76C4" w:rsidP="00FA76C4">
      <w:pPr>
        <w:spacing w:after="0" w:line="240" w:lineRule="auto"/>
        <w:rPr>
          <w:szCs w:val="24"/>
        </w:rPr>
      </w:pPr>
      <w:r w:rsidRPr="00C65503">
        <w:rPr>
          <w:szCs w:val="24"/>
        </w:rPr>
        <w:lastRenderedPageBreak/>
        <w:t>All decision</w:t>
      </w:r>
      <w:r>
        <w:rPr>
          <w:szCs w:val="24"/>
        </w:rPr>
        <w:t>s</w:t>
      </w:r>
      <w:r w:rsidRPr="00C65503">
        <w:rPr>
          <w:szCs w:val="24"/>
        </w:rPr>
        <w:t xml:space="preserve"> should be well informed</w:t>
      </w:r>
      <w:r>
        <w:rPr>
          <w:szCs w:val="24"/>
        </w:rPr>
        <w:t>, transparent</w:t>
      </w:r>
      <w:r w:rsidRPr="00C65503">
        <w:rPr>
          <w:szCs w:val="24"/>
        </w:rPr>
        <w:t xml:space="preserve"> and must have regard to the views and wishes of parents/carers, young </w:t>
      </w:r>
      <w:proofErr w:type="gramStart"/>
      <w:r w:rsidRPr="00C65503">
        <w:rPr>
          <w:szCs w:val="24"/>
        </w:rPr>
        <w:t>people</w:t>
      </w:r>
      <w:proofErr w:type="gramEnd"/>
      <w:r w:rsidRPr="00C65503">
        <w:rPr>
          <w:szCs w:val="24"/>
        </w:rPr>
        <w:t xml:space="preserve"> and professional advice</w:t>
      </w:r>
      <w:r>
        <w:rPr>
          <w:szCs w:val="24"/>
        </w:rPr>
        <w:t xml:space="preserve">. </w:t>
      </w:r>
      <w:r w:rsidRPr="00C65503">
        <w:rPr>
          <w:szCs w:val="24"/>
        </w:rPr>
        <w:t>Reasons for decisions must be clearly recorded and communicated, they must ensure fair and transparent distribution of resources</w:t>
      </w:r>
      <w:r>
        <w:rPr>
          <w:szCs w:val="24"/>
        </w:rPr>
        <w:t>.  Decisions are subject to routine audits and council corporate procedure.</w:t>
      </w:r>
    </w:p>
    <w:p w14:paraId="6C602DE4" w14:textId="183BD63F" w:rsidR="00F45008" w:rsidRPr="000A33C0" w:rsidRDefault="00F45008" w:rsidP="00401C96"/>
    <w:p w14:paraId="683E9ABC" w14:textId="0F35216B" w:rsidR="0006512E" w:rsidRDefault="0006512E" w:rsidP="00401C96"/>
    <w:p w14:paraId="7EB79D06" w14:textId="2C2E4993" w:rsidR="00ED1B4F" w:rsidRDefault="00280C08" w:rsidP="00ED1B4F">
      <w:pPr>
        <w:pStyle w:val="Heading2"/>
      </w:pPr>
      <w:r>
        <w:t>Principles</w:t>
      </w:r>
    </w:p>
    <w:p w14:paraId="77677A69" w14:textId="60572E37" w:rsidR="009D7AA3" w:rsidRPr="009A40FE" w:rsidRDefault="004676E8" w:rsidP="009D7AA3">
      <w:r w:rsidRPr="009A40FE">
        <w:t xml:space="preserve">Our vision for SEND in Essex can be found in the </w:t>
      </w:r>
      <w:hyperlink r:id="rId13" w:history="1">
        <w:r w:rsidRPr="00A541FE">
          <w:rPr>
            <w:rStyle w:val="Hyperlink"/>
          </w:rPr>
          <w:t>SEND Strategy 202</w:t>
        </w:r>
        <w:r w:rsidR="00A541FE" w:rsidRPr="00A541FE">
          <w:rPr>
            <w:rStyle w:val="Hyperlink"/>
          </w:rPr>
          <w:t>2</w:t>
        </w:r>
      </w:hyperlink>
      <w:r w:rsidR="00A541FE">
        <w:t xml:space="preserve">: </w:t>
      </w:r>
    </w:p>
    <w:p w14:paraId="7C5211D5" w14:textId="5BF9258A" w:rsidR="009D7AA3" w:rsidRPr="009A40FE" w:rsidRDefault="009D7AA3" w:rsidP="009D7AA3">
      <w:r w:rsidRPr="009A40FE">
        <w:t xml:space="preserve">Our vision for children and young people with special educational needs and disabilities (SEND) and the whole SEND system is based on the fundamental rights of all children and young people as defined in the United Nations Convention on the Rights of the Child (UNCRC). </w:t>
      </w:r>
    </w:p>
    <w:p w14:paraId="7383234B" w14:textId="22CE6A0F" w:rsidR="009D7AA3" w:rsidRPr="009A40FE" w:rsidRDefault="009D7AA3" w:rsidP="009D7AA3">
      <w:pPr>
        <w:pStyle w:val="ListParagraph"/>
        <w:numPr>
          <w:ilvl w:val="0"/>
          <w:numId w:val="11"/>
        </w:numPr>
      </w:pPr>
      <w:r w:rsidRPr="009A40FE">
        <w:t xml:space="preserve">Every child and young person </w:t>
      </w:r>
      <w:proofErr w:type="gramStart"/>
      <w:r w:rsidRPr="009A40FE">
        <w:t>is</w:t>
      </w:r>
      <w:proofErr w:type="gramEnd"/>
      <w:r w:rsidRPr="009A40FE">
        <w:t xml:space="preserve"> safe and feels safe</w:t>
      </w:r>
    </w:p>
    <w:p w14:paraId="7EBA4B9D" w14:textId="7417107E" w:rsidR="00792332" w:rsidRDefault="009D7AA3" w:rsidP="009D7AA3">
      <w:pPr>
        <w:pStyle w:val="ListParagraph"/>
        <w:numPr>
          <w:ilvl w:val="0"/>
          <w:numId w:val="11"/>
        </w:numPr>
      </w:pPr>
      <w:r w:rsidRPr="009A40FE">
        <w:t xml:space="preserve">Every child and young person’s views, feelings </w:t>
      </w:r>
      <w:hyperlink w:history="1">
        <w:r w:rsidRPr="009A40FE">
          <w:t>and wishes are always considered and taken seriously in all matters that affect them</w:t>
        </w:r>
      </w:hyperlink>
    </w:p>
    <w:p w14:paraId="08EDEB76" w14:textId="63FFED59" w:rsidR="009D7AA3" w:rsidRPr="009A40FE" w:rsidRDefault="009D7AA3" w:rsidP="009D7AA3">
      <w:pPr>
        <w:pStyle w:val="ListParagraph"/>
        <w:numPr>
          <w:ilvl w:val="0"/>
          <w:numId w:val="11"/>
        </w:numPr>
      </w:pPr>
      <w:r w:rsidRPr="009A40FE">
        <w:t xml:space="preserve">Every child and young person </w:t>
      </w:r>
      <w:proofErr w:type="gramStart"/>
      <w:r w:rsidRPr="009A40FE">
        <w:t>has</w:t>
      </w:r>
      <w:proofErr w:type="gramEnd"/>
      <w:r w:rsidRPr="009A40FE">
        <w:t xml:space="preserve"> the best possible health and wellbeing</w:t>
      </w:r>
    </w:p>
    <w:p w14:paraId="2A6EC10B" w14:textId="77777777" w:rsidR="009D7AA3" w:rsidRPr="009A40FE" w:rsidRDefault="009D7AA3" w:rsidP="009D7AA3">
      <w:pPr>
        <w:pStyle w:val="ListParagraph"/>
        <w:numPr>
          <w:ilvl w:val="0"/>
          <w:numId w:val="11"/>
        </w:numPr>
      </w:pPr>
      <w:r w:rsidRPr="009A40FE">
        <w:t xml:space="preserve">Every child and young person’s education and training should develop their personality, </w:t>
      </w:r>
      <w:proofErr w:type="gramStart"/>
      <w:r w:rsidRPr="009A40FE">
        <w:t>talents</w:t>
      </w:r>
      <w:proofErr w:type="gramEnd"/>
      <w:r w:rsidRPr="009A40FE">
        <w:t xml:space="preserve"> and abilities to the full </w:t>
      </w:r>
    </w:p>
    <w:p w14:paraId="75F09F28" w14:textId="77777777" w:rsidR="009D7AA3" w:rsidRPr="009A40FE" w:rsidRDefault="009D7AA3" w:rsidP="009D7AA3">
      <w:pPr>
        <w:pStyle w:val="ListParagraph"/>
        <w:numPr>
          <w:ilvl w:val="0"/>
          <w:numId w:val="11"/>
        </w:numPr>
      </w:pPr>
      <w:r w:rsidRPr="009A40FE">
        <w:t xml:space="preserve">Every child and young person </w:t>
      </w:r>
      <w:proofErr w:type="gramStart"/>
      <w:r w:rsidRPr="009A40FE">
        <w:t>is</w:t>
      </w:r>
      <w:proofErr w:type="gramEnd"/>
      <w:r w:rsidRPr="009A40FE">
        <w:t xml:space="preserve"> connected to, and plays an active part, in their local community</w:t>
      </w:r>
    </w:p>
    <w:p w14:paraId="2B16AB68" w14:textId="77777777" w:rsidR="009D7AA3" w:rsidRPr="009A40FE" w:rsidRDefault="009D7AA3" w:rsidP="009D7AA3">
      <w:pPr>
        <w:pStyle w:val="ListParagraph"/>
        <w:numPr>
          <w:ilvl w:val="0"/>
          <w:numId w:val="11"/>
        </w:numPr>
      </w:pPr>
      <w:r w:rsidRPr="009A40FE">
        <w:t xml:space="preserve">Every child and young person </w:t>
      </w:r>
      <w:proofErr w:type="gramStart"/>
      <w:r w:rsidRPr="009A40FE">
        <w:t>has</w:t>
      </w:r>
      <w:proofErr w:type="gramEnd"/>
      <w:r w:rsidRPr="009A40FE">
        <w:t xml:space="preserve"> the education, care and support they need to lead a full and purposeful life with dignity and independence  </w:t>
      </w:r>
    </w:p>
    <w:p w14:paraId="1FBA8196" w14:textId="4AE443B7" w:rsidR="009D7AA3" w:rsidRPr="009D7AA3" w:rsidRDefault="009D7AA3" w:rsidP="009D7AA3">
      <w:r w:rsidRPr="009A40FE">
        <w:t>This vision is for all children and young people and will be applied with ambition.</w:t>
      </w:r>
    </w:p>
    <w:p w14:paraId="55E3EDD3" w14:textId="77777777" w:rsidR="009D7AA3" w:rsidRDefault="009D7AA3" w:rsidP="009D7AA3"/>
    <w:p w14:paraId="32E5B919" w14:textId="6420F0BF" w:rsidR="00ED1B4F" w:rsidRDefault="000F3A80" w:rsidP="000F3A80">
      <w:r>
        <w:t xml:space="preserve">Ensuring that decision-making, planning and support for children and young people with SEND in Essex is the individual and collective responsibility of all professionals, managers and leaders across education, </w:t>
      </w:r>
      <w:proofErr w:type="gramStart"/>
      <w:r>
        <w:t>health</w:t>
      </w:r>
      <w:proofErr w:type="gramEnd"/>
      <w:r>
        <w:t xml:space="preserve"> and care services.</w:t>
      </w:r>
    </w:p>
    <w:p w14:paraId="735EFCBB" w14:textId="3373BBCC" w:rsidR="006F4FD9" w:rsidRDefault="006F4FD9" w:rsidP="006F4FD9">
      <w:pPr>
        <w:pStyle w:val="Heading2"/>
      </w:pPr>
      <w:r>
        <w:t>Key documents</w:t>
      </w:r>
    </w:p>
    <w:p w14:paraId="1E1289F9" w14:textId="7E19A870" w:rsidR="006F4FD9" w:rsidRDefault="006F4FD9" w:rsidP="006F4FD9">
      <w:r>
        <w:t xml:space="preserve">All officers making decisions about EHC needs assessments and plans in Essex must have regard to the following national guidance and legislation – </w:t>
      </w:r>
    </w:p>
    <w:p w14:paraId="51890457" w14:textId="1A9B9FBA" w:rsidR="00A03296" w:rsidRDefault="00F32D3A" w:rsidP="00F32D3A">
      <w:pPr>
        <w:pStyle w:val="ListParagraph"/>
        <w:numPr>
          <w:ilvl w:val="0"/>
          <w:numId w:val="7"/>
        </w:numPr>
      </w:pPr>
      <w:r>
        <w:t>Children and Families Act 2014 and its associated regulations</w:t>
      </w:r>
    </w:p>
    <w:p w14:paraId="25002954" w14:textId="4F0C0153" w:rsidR="000D093F" w:rsidRDefault="000D093F" w:rsidP="000D093F">
      <w:pPr>
        <w:pStyle w:val="ListParagraph"/>
        <w:numPr>
          <w:ilvl w:val="0"/>
          <w:numId w:val="7"/>
        </w:numPr>
      </w:pPr>
      <w:r>
        <w:t>SEND Code of Practice 2014 (subsequent changes and amendments January 2015)</w:t>
      </w:r>
    </w:p>
    <w:p w14:paraId="218EF4B5" w14:textId="163A20E0" w:rsidR="00A03296" w:rsidRDefault="00F32D3A" w:rsidP="00F32D3A">
      <w:pPr>
        <w:pStyle w:val="ListParagraph"/>
        <w:numPr>
          <w:ilvl w:val="0"/>
          <w:numId w:val="7"/>
        </w:numPr>
      </w:pPr>
      <w:r>
        <w:t>Children's Act 1989</w:t>
      </w:r>
    </w:p>
    <w:p w14:paraId="7BD4B731" w14:textId="29CC1B25" w:rsidR="00A03296" w:rsidRDefault="00F32D3A" w:rsidP="00F32D3A">
      <w:pPr>
        <w:pStyle w:val="ListParagraph"/>
        <w:numPr>
          <w:ilvl w:val="0"/>
          <w:numId w:val="7"/>
        </w:numPr>
      </w:pPr>
      <w:r>
        <w:t>Chronically Sick and Disabled Persons Act 1970</w:t>
      </w:r>
    </w:p>
    <w:p w14:paraId="0D41FBEB" w14:textId="4D64A99F" w:rsidR="00A03296" w:rsidRPr="00A541FE" w:rsidRDefault="00F32D3A" w:rsidP="00F32D3A">
      <w:pPr>
        <w:pStyle w:val="ListParagraph"/>
        <w:numPr>
          <w:ilvl w:val="0"/>
          <w:numId w:val="7"/>
        </w:numPr>
      </w:pPr>
      <w:r w:rsidRPr="00CF0362">
        <w:lastRenderedPageBreak/>
        <w:t>Working Together to Safeguard Children</w:t>
      </w:r>
      <w:r w:rsidRPr="00A541FE">
        <w:t xml:space="preserve"> and </w:t>
      </w:r>
      <w:r w:rsidRPr="00CF0362">
        <w:t>Keeping Children Safe in Education</w:t>
      </w:r>
    </w:p>
    <w:p w14:paraId="6283734F" w14:textId="719071A5" w:rsidR="00A03296" w:rsidRDefault="00F32D3A" w:rsidP="00F32D3A">
      <w:pPr>
        <w:pStyle w:val="ListParagraph"/>
        <w:numPr>
          <w:ilvl w:val="0"/>
          <w:numId w:val="7"/>
        </w:numPr>
      </w:pPr>
      <w:r>
        <w:t>School Admissions Code of Practice</w:t>
      </w:r>
    </w:p>
    <w:p w14:paraId="5FA7CF3C" w14:textId="4A3BC20E" w:rsidR="00A03296" w:rsidRDefault="00F32D3A" w:rsidP="00A03296">
      <w:pPr>
        <w:pStyle w:val="ListParagraph"/>
        <w:numPr>
          <w:ilvl w:val="0"/>
          <w:numId w:val="7"/>
        </w:numPr>
      </w:pPr>
      <w:r>
        <w:t>Equality Act 2010</w:t>
      </w:r>
    </w:p>
    <w:p w14:paraId="34397913" w14:textId="33E09834" w:rsidR="00A03296" w:rsidRPr="00A541FE" w:rsidRDefault="00F32D3A" w:rsidP="00F32D3A">
      <w:pPr>
        <w:pStyle w:val="ListParagraph"/>
        <w:numPr>
          <w:ilvl w:val="0"/>
          <w:numId w:val="7"/>
        </w:numPr>
      </w:pPr>
      <w:r w:rsidRPr="00CF0362">
        <w:t>Supporting pupils at school with medical conditions</w:t>
      </w:r>
    </w:p>
    <w:p w14:paraId="72D8E8D4" w14:textId="5F4B5C7D" w:rsidR="00A03296" w:rsidRDefault="00F32D3A" w:rsidP="00F32D3A">
      <w:pPr>
        <w:pStyle w:val="ListParagraph"/>
        <w:numPr>
          <w:ilvl w:val="0"/>
          <w:numId w:val="7"/>
        </w:numPr>
      </w:pPr>
      <w:r>
        <w:t>Mental Capacity Act 2005</w:t>
      </w:r>
    </w:p>
    <w:p w14:paraId="597C8626" w14:textId="43CDE811" w:rsidR="00A03296" w:rsidRDefault="00F32D3A" w:rsidP="00F32D3A">
      <w:pPr>
        <w:pStyle w:val="ListParagraph"/>
        <w:numPr>
          <w:ilvl w:val="0"/>
          <w:numId w:val="7"/>
        </w:numPr>
      </w:pPr>
      <w:r>
        <w:t>Care Act 2014</w:t>
      </w:r>
    </w:p>
    <w:p w14:paraId="395FD2B0" w14:textId="4D4CBCB3" w:rsidR="006F4FD9" w:rsidRDefault="00F32D3A" w:rsidP="00F32D3A">
      <w:pPr>
        <w:pStyle w:val="ListParagraph"/>
        <w:numPr>
          <w:ilvl w:val="0"/>
          <w:numId w:val="7"/>
        </w:numPr>
      </w:pPr>
      <w:r>
        <w:t>The School and Early Years Finance (England) Regulations</w:t>
      </w:r>
    </w:p>
    <w:p w14:paraId="4400B123" w14:textId="0C0C4D5F" w:rsidR="006F4FD9" w:rsidRDefault="006F4FD9" w:rsidP="006F4FD9">
      <w:r>
        <w:t xml:space="preserve">All officers making decisions about EHC needs assessments and plans in Essex must also have regard to the following local guidance, which </w:t>
      </w:r>
      <w:r w:rsidR="00D7129B">
        <w:t xml:space="preserve">sets out the practices and processes that must be consistent across the SEND system in Essex – </w:t>
      </w:r>
    </w:p>
    <w:p w14:paraId="06FA0174" w14:textId="77777777" w:rsidR="004676E8" w:rsidRDefault="004676E8" w:rsidP="00D7129B">
      <w:pPr>
        <w:pStyle w:val="ListParagraph"/>
        <w:numPr>
          <w:ilvl w:val="0"/>
          <w:numId w:val="4"/>
        </w:numPr>
      </w:pPr>
      <w:r>
        <w:t>Terms of reference for SEND statutory panels</w:t>
      </w:r>
    </w:p>
    <w:p w14:paraId="1794DA19" w14:textId="082ED04E" w:rsidR="004C1B35" w:rsidRDefault="004C1B35" w:rsidP="00D7129B">
      <w:pPr>
        <w:pStyle w:val="ListParagraph"/>
        <w:numPr>
          <w:ilvl w:val="0"/>
          <w:numId w:val="4"/>
        </w:numPr>
      </w:pPr>
      <w:r>
        <w:t xml:space="preserve">Essex SEND </w:t>
      </w:r>
      <w:proofErr w:type="gramStart"/>
      <w:r>
        <w:t>strategy;</w:t>
      </w:r>
      <w:proofErr w:type="gramEnd"/>
    </w:p>
    <w:p w14:paraId="26F743DA" w14:textId="13F007C8" w:rsidR="004C1B35" w:rsidRDefault="004C1B35" w:rsidP="00D7129B">
      <w:pPr>
        <w:pStyle w:val="ListParagraph"/>
        <w:numPr>
          <w:ilvl w:val="0"/>
          <w:numId w:val="4"/>
        </w:numPr>
      </w:pPr>
      <w:r>
        <w:t xml:space="preserve">Essex </w:t>
      </w:r>
      <w:proofErr w:type="gramStart"/>
      <w:r>
        <w:t>ordinarily-available</w:t>
      </w:r>
      <w:proofErr w:type="gramEnd"/>
      <w:r>
        <w:t xml:space="preserve"> </w:t>
      </w:r>
      <w:r w:rsidR="004676E8">
        <w:t>framework</w:t>
      </w:r>
    </w:p>
    <w:p w14:paraId="4D9A313D" w14:textId="7A673495" w:rsidR="00D7129B" w:rsidRDefault="00845009" w:rsidP="00D7129B">
      <w:pPr>
        <w:pStyle w:val="ListParagraph"/>
        <w:numPr>
          <w:ilvl w:val="0"/>
          <w:numId w:val="4"/>
        </w:numPr>
      </w:pPr>
      <w:r>
        <w:t>EHC needs assessment guidance</w:t>
      </w:r>
    </w:p>
    <w:p w14:paraId="621EC7BD" w14:textId="6459296B" w:rsidR="00845009" w:rsidRDefault="00845009" w:rsidP="00D7129B">
      <w:pPr>
        <w:pStyle w:val="ListParagraph"/>
        <w:numPr>
          <w:ilvl w:val="0"/>
          <w:numId w:val="4"/>
        </w:numPr>
      </w:pPr>
      <w:r>
        <w:t>Essex banding framework</w:t>
      </w:r>
    </w:p>
    <w:p w14:paraId="6581450F" w14:textId="609E652F" w:rsidR="00845009" w:rsidRDefault="00845009" w:rsidP="00D7129B">
      <w:pPr>
        <w:pStyle w:val="ListParagraph"/>
        <w:numPr>
          <w:ilvl w:val="0"/>
          <w:numId w:val="4"/>
        </w:numPr>
      </w:pPr>
      <w:r>
        <w:t>Essex EHCP quality-assurance framework</w:t>
      </w:r>
    </w:p>
    <w:p w14:paraId="410282CE" w14:textId="77777777" w:rsidR="006E0C0F" w:rsidRDefault="004C1B35" w:rsidP="00CF0362">
      <w:pPr>
        <w:pStyle w:val="ListParagraph"/>
        <w:numPr>
          <w:ilvl w:val="0"/>
          <w:numId w:val="4"/>
        </w:numPr>
        <w:jc w:val="left"/>
      </w:pPr>
      <w:r>
        <w:t>Essex EHCP annual review guidance</w:t>
      </w:r>
      <w:r w:rsidR="00A541FE">
        <w:t xml:space="preserve"> </w:t>
      </w:r>
    </w:p>
    <w:p w14:paraId="59001629" w14:textId="6B9E8E13" w:rsidR="009748A7" w:rsidRDefault="006E0C0F" w:rsidP="00CF0362">
      <w:pPr>
        <w:pStyle w:val="ListParagraph"/>
        <w:numPr>
          <w:ilvl w:val="0"/>
          <w:numId w:val="4"/>
        </w:numPr>
        <w:jc w:val="left"/>
      </w:pPr>
      <w:r>
        <w:t>EHCNA Checklist</w:t>
      </w:r>
      <w:r w:rsidR="009748A7">
        <w:br w:type="page"/>
      </w:r>
    </w:p>
    <w:p w14:paraId="3371795E" w14:textId="4B2D4405" w:rsidR="00F45008" w:rsidRDefault="00280C08" w:rsidP="00F45008">
      <w:pPr>
        <w:pStyle w:val="Heading1"/>
      </w:pPr>
      <w:r>
        <w:lastRenderedPageBreak/>
        <w:t xml:space="preserve">A summary of where authority </w:t>
      </w:r>
      <w:r w:rsidR="00AA57FB">
        <w:t xml:space="preserve">for making decisions about aspects of the EHC system </w:t>
      </w:r>
      <w:r>
        <w:t>sits within Essex</w:t>
      </w:r>
    </w:p>
    <w:p w14:paraId="2349DF4C" w14:textId="5F8AEF09" w:rsidR="00F45008" w:rsidRDefault="00AA57FB" w:rsidP="00F45008">
      <w:pPr>
        <w:pStyle w:val="Heading2"/>
      </w:pPr>
      <w:r>
        <w:t>Summary</w:t>
      </w:r>
    </w:p>
    <w:p w14:paraId="2A8E1A46" w14:textId="5EF9587D" w:rsidR="009748A7" w:rsidRDefault="001155BD" w:rsidP="00D11C53">
      <w:r>
        <w:t xml:space="preserve">This scheme of delegation was developed through </w:t>
      </w:r>
      <w:r w:rsidR="004676E8">
        <w:t>consultation with a working group of</w:t>
      </w:r>
      <w:r w:rsidR="00B1279D">
        <w:t xml:space="preserve"> senior leaders responsible for SEND in the local authority</w:t>
      </w:r>
      <w:r w:rsidR="004676E8">
        <w:t xml:space="preserve"> and engagement with a wider core group of representatives from Education, Social Care and Health</w:t>
      </w:r>
      <w:r w:rsidR="00B1279D">
        <w:t xml:space="preserve"> </w:t>
      </w:r>
      <w:r w:rsidR="004676E8">
        <w:t>throughout</w:t>
      </w:r>
      <w:r w:rsidR="00B1279D">
        <w:t xml:space="preserve"> 2021. In planning where decision-making authority should sit within Essex, we </w:t>
      </w:r>
      <w:r w:rsidR="009748A7">
        <w:t>followed a series of eight steps in the EHC process. This is summarised in the graphic below.</w:t>
      </w:r>
    </w:p>
    <w:p w14:paraId="6FEC76C6" w14:textId="1FB09D9C" w:rsidR="009748A7" w:rsidRDefault="009748A7" w:rsidP="009748A7">
      <w:pPr>
        <w:jc w:val="center"/>
      </w:pPr>
      <w:r>
        <w:rPr>
          <w:noProof/>
        </w:rPr>
        <w:drawing>
          <wp:inline distT="0" distB="0" distL="0" distR="0" wp14:anchorId="657200E0" wp14:editId="194D23DB">
            <wp:extent cx="7018270" cy="4162425"/>
            <wp:effectExtent l="0" t="0" r="0" b="0"/>
            <wp:docPr id="3" name="Picture 3" descr="Decision making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ision making flow ch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28062" cy="4168233"/>
                    </a:xfrm>
                    <a:prstGeom prst="rect">
                      <a:avLst/>
                    </a:prstGeom>
                    <a:noFill/>
                  </pic:spPr>
                </pic:pic>
              </a:graphicData>
            </a:graphic>
          </wp:inline>
        </w:drawing>
      </w:r>
    </w:p>
    <w:p w14:paraId="3DE72942" w14:textId="77777777" w:rsidR="006F11B2" w:rsidRDefault="006F11B2" w:rsidP="00401C96"/>
    <w:p w14:paraId="2B25BC31" w14:textId="7C01D089" w:rsidR="001C07F1" w:rsidRDefault="00D11C53" w:rsidP="00401C96">
      <w:r>
        <w:lastRenderedPageBreak/>
        <w:t xml:space="preserve">The table below presents an “at-a-glance” summary of where responsibilities </w:t>
      </w:r>
      <w:r w:rsidR="000A4409">
        <w:t>for each of these stages sit within the Essex system.</w:t>
      </w:r>
    </w:p>
    <w:tbl>
      <w:tblPr>
        <w:tblStyle w:val="PlainTable1"/>
        <w:tblW w:w="0" w:type="auto"/>
        <w:tblLook w:val="04A0" w:firstRow="1" w:lastRow="0" w:firstColumn="1" w:lastColumn="0" w:noHBand="0" w:noVBand="1"/>
      </w:tblPr>
      <w:tblGrid>
        <w:gridCol w:w="3486"/>
        <w:gridCol w:w="1670"/>
        <w:gridCol w:w="1671"/>
        <w:gridCol w:w="1671"/>
        <w:gridCol w:w="1671"/>
        <w:gridCol w:w="1671"/>
        <w:gridCol w:w="1671"/>
        <w:gridCol w:w="1671"/>
      </w:tblGrid>
      <w:tr w:rsidR="00102A1D" w14:paraId="502339C1" w14:textId="77777777" w:rsidTr="00AA757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486" w:type="dxa"/>
            <w:tcBorders>
              <w:bottom w:val="single" w:sz="4" w:space="0" w:color="auto"/>
            </w:tcBorders>
            <w:shd w:val="clear" w:color="auto" w:fill="002060"/>
            <w:vAlign w:val="center"/>
          </w:tcPr>
          <w:p w14:paraId="12E63BF5" w14:textId="6C2AE948" w:rsidR="004676E8" w:rsidRDefault="004676E8" w:rsidP="00102A1D">
            <w:pPr>
              <w:jc w:val="center"/>
              <w:rPr>
                <w:noProof/>
              </w:rPr>
            </w:pPr>
            <w:r w:rsidRPr="00102A1D">
              <w:rPr>
                <w:noProof/>
                <w:sz w:val="24"/>
                <w:szCs w:val="24"/>
              </w:rPr>
              <w:t>Stage of EHC process</w:t>
            </w:r>
          </w:p>
        </w:tc>
        <w:tc>
          <w:tcPr>
            <w:tcW w:w="1670" w:type="dxa"/>
            <w:shd w:val="clear" w:color="auto" w:fill="0070C0"/>
          </w:tcPr>
          <w:p w14:paraId="2596D416" w14:textId="60BAE7E8" w:rsidR="004676E8" w:rsidRPr="00102A1D" w:rsidRDefault="004676E8" w:rsidP="00102A1D">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4"/>
                <w:szCs w:val="24"/>
              </w:rPr>
            </w:pPr>
            <w:r w:rsidRPr="00102A1D">
              <w:rPr>
                <w:noProof/>
                <w:color w:val="FFFFFF" w:themeColor="background1"/>
                <w:sz w:val="24"/>
                <w:szCs w:val="24"/>
              </w:rPr>
              <w:t xml:space="preserve">SEND Operations </w:t>
            </w:r>
            <w:r w:rsidR="006E0C0F">
              <w:rPr>
                <w:noProof/>
                <w:color w:val="FFFFFF" w:themeColor="background1"/>
                <w:sz w:val="24"/>
                <w:szCs w:val="24"/>
              </w:rPr>
              <w:t>Co-ordinator</w:t>
            </w:r>
          </w:p>
        </w:tc>
        <w:tc>
          <w:tcPr>
            <w:tcW w:w="1671" w:type="dxa"/>
            <w:shd w:val="clear" w:color="auto" w:fill="0070C0"/>
          </w:tcPr>
          <w:p w14:paraId="26531EAB" w14:textId="1119BAC2" w:rsidR="004676E8" w:rsidRPr="00102A1D" w:rsidRDefault="006E0C0F" w:rsidP="00102A1D">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4"/>
                <w:szCs w:val="24"/>
              </w:rPr>
            </w:pPr>
            <w:r>
              <w:rPr>
                <w:noProof/>
                <w:color w:val="FFFFFF" w:themeColor="background1"/>
                <w:sz w:val="24"/>
                <w:szCs w:val="24"/>
              </w:rPr>
              <w:t>Annual Review</w:t>
            </w:r>
            <w:r w:rsidR="004676E8" w:rsidRPr="00102A1D">
              <w:rPr>
                <w:noProof/>
                <w:color w:val="FFFFFF" w:themeColor="background1"/>
                <w:sz w:val="24"/>
                <w:szCs w:val="24"/>
              </w:rPr>
              <w:t xml:space="preserve"> Co-ordinator</w:t>
            </w:r>
          </w:p>
        </w:tc>
        <w:tc>
          <w:tcPr>
            <w:tcW w:w="1671" w:type="dxa"/>
            <w:shd w:val="clear" w:color="auto" w:fill="0070C0"/>
          </w:tcPr>
          <w:p w14:paraId="5DCC5552" w14:textId="2A5BB726" w:rsidR="004676E8" w:rsidRPr="00102A1D" w:rsidRDefault="004676E8" w:rsidP="00102A1D">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4"/>
                <w:szCs w:val="24"/>
              </w:rPr>
            </w:pPr>
            <w:r w:rsidRPr="00102A1D">
              <w:rPr>
                <w:noProof/>
                <w:color w:val="FFFFFF" w:themeColor="background1"/>
                <w:sz w:val="24"/>
                <w:szCs w:val="24"/>
              </w:rPr>
              <w:t>SEND Operations Partner</w:t>
            </w:r>
          </w:p>
        </w:tc>
        <w:tc>
          <w:tcPr>
            <w:tcW w:w="1671" w:type="dxa"/>
            <w:shd w:val="clear" w:color="auto" w:fill="0070C0"/>
          </w:tcPr>
          <w:p w14:paraId="02F20468" w14:textId="68B49745" w:rsidR="004676E8" w:rsidRPr="00102A1D" w:rsidRDefault="004676E8" w:rsidP="00102A1D">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4"/>
                <w:szCs w:val="24"/>
              </w:rPr>
            </w:pPr>
            <w:r w:rsidRPr="00102A1D">
              <w:rPr>
                <w:noProof/>
                <w:color w:val="FFFFFF" w:themeColor="background1"/>
                <w:sz w:val="24"/>
                <w:szCs w:val="24"/>
              </w:rPr>
              <w:t>SEND Operations Lead</w:t>
            </w:r>
            <w:r w:rsidR="006E0C0F">
              <w:rPr>
                <w:noProof/>
                <w:color w:val="FFFFFF" w:themeColor="background1"/>
                <w:sz w:val="24"/>
                <w:szCs w:val="24"/>
              </w:rPr>
              <w:t>/ Deputy</w:t>
            </w:r>
          </w:p>
        </w:tc>
        <w:tc>
          <w:tcPr>
            <w:tcW w:w="1671" w:type="dxa"/>
            <w:shd w:val="clear" w:color="auto" w:fill="ED7D31" w:themeFill="accent2"/>
            <w:vAlign w:val="center"/>
          </w:tcPr>
          <w:p w14:paraId="199FC68D" w14:textId="6B7BFB31" w:rsidR="004676E8" w:rsidRPr="00AA7574" w:rsidRDefault="004676E8" w:rsidP="00102A1D">
            <w:pPr>
              <w:jc w:val="center"/>
              <w:cnfStyle w:val="100000000000" w:firstRow="1" w:lastRow="0" w:firstColumn="0" w:lastColumn="0" w:oddVBand="0" w:evenVBand="0" w:oddHBand="0" w:evenHBand="0" w:firstRowFirstColumn="0" w:firstRowLastColumn="0" w:lastRowFirstColumn="0" w:lastRowLastColumn="0"/>
              <w:rPr>
                <w:noProof/>
                <w:sz w:val="24"/>
                <w:szCs w:val="24"/>
              </w:rPr>
            </w:pPr>
            <w:r w:rsidRPr="00AA7574">
              <w:rPr>
                <w:noProof/>
                <w:sz w:val="24"/>
                <w:szCs w:val="24"/>
              </w:rPr>
              <w:t>Initiation Panel</w:t>
            </w:r>
          </w:p>
        </w:tc>
        <w:tc>
          <w:tcPr>
            <w:tcW w:w="1671" w:type="dxa"/>
            <w:shd w:val="clear" w:color="auto" w:fill="ED7D31" w:themeFill="accent2"/>
            <w:vAlign w:val="center"/>
          </w:tcPr>
          <w:p w14:paraId="2190CE9E" w14:textId="343E558A" w:rsidR="004676E8" w:rsidRPr="00AA7574" w:rsidRDefault="004676E8" w:rsidP="00102A1D">
            <w:pPr>
              <w:jc w:val="center"/>
              <w:cnfStyle w:val="100000000000" w:firstRow="1" w:lastRow="0" w:firstColumn="0" w:lastColumn="0" w:oddVBand="0" w:evenVBand="0" w:oddHBand="0" w:evenHBand="0" w:firstRowFirstColumn="0" w:firstRowLastColumn="0" w:lastRowFirstColumn="0" w:lastRowLastColumn="0"/>
              <w:rPr>
                <w:noProof/>
                <w:sz w:val="24"/>
                <w:szCs w:val="24"/>
              </w:rPr>
            </w:pPr>
            <w:r w:rsidRPr="00AA7574">
              <w:rPr>
                <w:noProof/>
                <w:sz w:val="24"/>
                <w:szCs w:val="24"/>
              </w:rPr>
              <w:t>Resourcing Panel</w:t>
            </w:r>
          </w:p>
        </w:tc>
        <w:tc>
          <w:tcPr>
            <w:tcW w:w="1671" w:type="dxa"/>
            <w:shd w:val="clear" w:color="auto" w:fill="ED7D31" w:themeFill="accent2"/>
            <w:vAlign w:val="center"/>
          </w:tcPr>
          <w:p w14:paraId="4B534124" w14:textId="0DD601C0" w:rsidR="004676E8" w:rsidRPr="00AA7574" w:rsidRDefault="004676E8" w:rsidP="00102A1D">
            <w:pPr>
              <w:jc w:val="center"/>
              <w:cnfStyle w:val="100000000000" w:firstRow="1" w:lastRow="0" w:firstColumn="0" w:lastColumn="0" w:oddVBand="0" w:evenVBand="0" w:oddHBand="0" w:evenHBand="0" w:firstRowFirstColumn="0" w:firstRowLastColumn="0" w:lastRowFirstColumn="0" w:lastRowLastColumn="0"/>
              <w:rPr>
                <w:noProof/>
                <w:sz w:val="24"/>
                <w:szCs w:val="24"/>
              </w:rPr>
            </w:pPr>
            <w:r w:rsidRPr="00AA7574">
              <w:rPr>
                <w:noProof/>
                <w:sz w:val="24"/>
                <w:szCs w:val="24"/>
              </w:rPr>
              <w:t>Complex Case Forum</w:t>
            </w:r>
          </w:p>
        </w:tc>
      </w:tr>
      <w:tr w:rsidR="004676E8" w14:paraId="380F09FC" w14:textId="77777777" w:rsidTr="00AA757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single" w:sz="4" w:space="0" w:color="auto"/>
              <w:bottom w:val="single" w:sz="4" w:space="0" w:color="auto"/>
              <w:right w:val="single" w:sz="4" w:space="0" w:color="auto"/>
            </w:tcBorders>
          </w:tcPr>
          <w:p w14:paraId="726B7D1F" w14:textId="2F5A4C47" w:rsidR="004676E8" w:rsidRPr="00102A1D" w:rsidRDefault="004676E8" w:rsidP="00102A1D">
            <w:pPr>
              <w:pStyle w:val="ListParagraph"/>
              <w:numPr>
                <w:ilvl w:val="0"/>
                <w:numId w:val="12"/>
              </w:numPr>
              <w:ind w:left="306" w:hanging="284"/>
              <w:jc w:val="left"/>
              <w:rPr>
                <w:noProof/>
                <w:sz w:val="24"/>
                <w:szCs w:val="24"/>
              </w:rPr>
            </w:pPr>
            <w:r w:rsidRPr="00102A1D">
              <w:rPr>
                <w:noProof/>
                <w:sz w:val="24"/>
                <w:szCs w:val="24"/>
              </w:rPr>
              <w:t>Request for EHCNA</w:t>
            </w:r>
          </w:p>
        </w:tc>
        <w:tc>
          <w:tcPr>
            <w:tcW w:w="1670" w:type="dxa"/>
            <w:tcBorders>
              <w:left w:val="single" w:sz="4" w:space="0" w:color="auto"/>
            </w:tcBorders>
            <w:vAlign w:val="center"/>
          </w:tcPr>
          <w:p w14:paraId="20AC1090"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0404395C"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3119381E" w14:textId="1D420F82" w:rsidR="004676E8" w:rsidRPr="00102A1D" w:rsidRDefault="006E0C0F"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X</w:t>
            </w:r>
          </w:p>
        </w:tc>
        <w:tc>
          <w:tcPr>
            <w:tcW w:w="1671" w:type="dxa"/>
            <w:vAlign w:val="center"/>
          </w:tcPr>
          <w:p w14:paraId="2F8AAB7E" w14:textId="03940E7F" w:rsidR="004676E8" w:rsidRPr="008577D7"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8577D7">
              <w:rPr>
                <w:noProof/>
                <w:sz w:val="24"/>
                <w:szCs w:val="24"/>
              </w:rPr>
              <w:t>X</w:t>
            </w:r>
          </w:p>
        </w:tc>
        <w:tc>
          <w:tcPr>
            <w:tcW w:w="1671" w:type="dxa"/>
            <w:vAlign w:val="center"/>
          </w:tcPr>
          <w:p w14:paraId="75E1DD62" w14:textId="61FCCACB" w:rsidR="004676E8" w:rsidRPr="008577D7"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8577D7">
              <w:rPr>
                <w:noProof/>
                <w:sz w:val="24"/>
                <w:szCs w:val="24"/>
              </w:rPr>
              <w:t>X</w:t>
            </w:r>
          </w:p>
        </w:tc>
        <w:tc>
          <w:tcPr>
            <w:tcW w:w="1671" w:type="dxa"/>
            <w:vAlign w:val="center"/>
          </w:tcPr>
          <w:p w14:paraId="74F6E5EB"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3EDF692C"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r>
      <w:tr w:rsidR="004676E8" w14:paraId="45A02029" w14:textId="77777777" w:rsidTr="00AA7574">
        <w:trPr>
          <w:trHeight w:val="292"/>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single" w:sz="4" w:space="0" w:color="auto"/>
              <w:bottom w:val="single" w:sz="4" w:space="0" w:color="auto"/>
              <w:right w:val="single" w:sz="4" w:space="0" w:color="auto"/>
            </w:tcBorders>
          </w:tcPr>
          <w:p w14:paraId="33FEDEF1" w14:textId="7D9A0DE3" w:rsidR="004676E8" w:rsidRPr="00102A1D" w:rsidRDefault="004676E8" w:rsidP="00102A1D">
            <w:pPr>
              <w:pStyle w:val="ListParagraph"/>
              <w:numPr>
                <w:ilvl w:val="0"/>
                <w:numId w:val="12"/>
              </w:numPr>
              <w:ind w:left="306" w:hanging="284"/>
              <w:jc w:val="left"/>
              <w:rPr>
                <w:b w:val="0"/>
                <w:bCs w:val="0"/>
                <w:noProof/>
                <w:sz w:val="24"/>
                <w:szCs w:val="24"/>
              </w:rPr>
            </w:pPr>
            <w:r w:rsidRPr="00102A1D">
              <w:rPr>
                <w:noProof/>
                <w:sz w:val="24"/>
                <w:szCs w:val="24"/>
              </w:rPr>
              <w:t>Decision to issue EHCP</w:t>
            </w:r>
          </w:p>
        </w:tc>
        <w:tc>
          <w:tcPr>
            <w:tcW w:w="1670" w:type="dxa"/>
            <w:tcBorders>
              <w:left w:val="single" w:sz="4" w:space="0" w:color="auto"/>
            </w:tcBorders>
            <w:vAlign w:val="center"/>
          </w:tcPr>
          <w:p w14:paraId="53BB8796"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5C4D5CA2"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1EE79635"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357A438D" w14:textId="57B586DD" w:rsidR="004676E8" w:rsidRPr="00102A1D" w:rsidRDefault="00102A1D"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102A1D">
              <w:rPr>
                <w:noProof/>
                <w:sz w:val="24"/>
                <w:szCs w:val="24"/>
              </w:rPr>
              <w:t>X</w:t>
            </w:r>
          </w:p>
        </w:tc>
        <w:tc>
          <w:tcPr>
            <w:tcW w:w="1671" w:type="dxa"/>
            <w:vAlign w:val="center"/>
          </w:tcPr>
          <w:p w14:paraId="2E7E38F6"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3B5C0CCF" w14:textId="6A03C285" w:rsidR="004676E8" w:rsidRPr="00102A1D" w:rsidRDefault="00102A1D"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102A1D">
              <w:rPr>
                <w:noProof/>
                <w:sz w:val="24"/>
                <w:szCs w:val="24"/>
              </w:rPr>
              <w:t>X</w:t>
            </w:r>
          </w:p>
        </w:tc>
        <w:tc>
          <w:tcPr>
            <w:tcW w:w="1671" w:type="dxa"/>
            <w:vAlign w:val="center"/>
          </w:tcPr>
          <w:p w14:paraId="55643A10"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r>
      <w:tr w:rsidR="004676E8" w14:paraId="76860124" w14:textId="77777777" w:rsidTr="00AA757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single" w:sz="4" w:space="0" w:color="auto"/>
              <w:bottom w:val="single" w:sz="4" w:space="0" w:color="auto"/>
              <w:right w:val="single" w:sz="4" w:space="0" w:color="auto"/>
            </w:tcBorders>
          </w:tcPr>
          <w:p w14:paraId="590898F2" w14:textId="1CD64A61" w:rsidR="004676E8" w:rsidRPr="00102A1D" w:rsidRDefault="004676E8" w:rsidP="00102A1D">
            <w:pPr>
              <w:pStyle w:val="ListParagraph"/>
              <w:numPr>
                <w:ilvl w:val="0"/>
                <w:numId w:val="12"/>
              </w:numPr>
              <w:ind w:left="306" w:hanging="284"/>
              <w:jc w:val="left"/>
              <w:rPr>
                <w:noProof/>
                <w:sz w:val="24"/>
                <w:szCs w:val="24"/>
              </w:rPr>
            </w:pPr>
            <w:r w:rsidRPr="00102A1D">
              <w:rPr>
                <w:noProof/>
                <w:sz w:val="24"/>
                <w:szCs w:val="24"/>
              </w:rPr>
              <w:t>Annual Review</w:t>
            </w:r>
            <w:r w:rsidR="00102A1D">
              <w:rPr>
                <w:noProof/>
                <w:sz w:val="24"/>
                <w:szCs w:val="24"/>
              </w:rPr>
              <w:br/>
            </w:r>
            <w:r w:rsidR="00102A1D" w:rsidRPr="00102A1D">
              <w:rPr>
                <w:b w:val="0"/>
                <w:bCs w:val="0"/>
                <w:noProof/>
                <w:sz w:val="24"/>
                <w:szCs w:val="24"/>
              </w:rPr>
              <w:t>… i</w:t>
            </w:r>
            <w:r w:rsidRPr="00102A1D">
              <w:rPr>
                <w:b w:val="0"/>
                <w:bCs w:val="0"/>
                <w:noProof/>
                <w:sz w:val="24"/>
                <w:szCs w:val="24"/>
              </w:rPr>
              <w:t>nitial triage, no change</w:t>
            </w:r>
          </w:p>
        </w:tc>
        <w:tc>
          <w:tcPr>
            <w:tcW w:w="1670" w:type="dxa"/>
            <w:tcBorders>
              <w:left w:val="single" w:sz="4" w:space="0" w:color="auto"/>
            </w:tcBorders>
            <w:vAlign w:val="center"/>
          </w:tcPr>
          <w:p w14:paraId="39E07440" w14:textId="6C3C4F4B" w:rsidR="004676E8" w:rsidRPr="00102A1D" w:rsidRDefault="006E0C0F"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X* first Annual Review</w:t>
            </w:r>
          </w:p>
        </w:tc>
        <w:tc>
          <w:tcPr>
            <w:tcW w:w="1671" w:type="dxa"/>
            <w:vAlign w:val="center"/>
          </w:tcPr>
          <w:p w14:paraId="72D88A26" w14:textId="79C74765" w:rsidR="004676E8" w:rsidRPr="00102A1D"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X</w:t>
            </w:r>
          </w:p>
        </w:tc>
        <w:tc>
          <w:tcPr>
            <w:tcW w:w="1671" w:type="dxa"/>
            <w:vAlign w:val="center"/>
          </w:tcPr>
          <w:p w14:paraId="7838B7E8"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32F432E6"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5D515F85"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15CA537A"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0DF120DA"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r>
      <w:tr w:rsidR="004676E8" w14:paraId="535FDA62" w14:textId="77777777" w:rsidTr="00AA7574">
        <w:trPr>
          <w:trHeight w:val="292"/>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single" w:sz="4" w:space="0" w:color="auto"/>
              <w:bottom w:val="single" w:sz="4" w:space="0" w:color="auto"/>
              <w:right w:val="single" w:sz="4" w:space="0" w:color="auto"/>
            </w:tcBorders>
          </w:tcPr>
          <w:p w14:paraId="0F3DB84D" w14:textId="6453FEF1" w:rsidR="004676E8" w:rsidRPr="00102A1D" w:rsidRDefault="00102A1D" w:rsidP="00102A1D">
            <w:pPr>
              <w:pStyle w:val="ListParagraph"/>
              <w:ind w:left="306"/>
              <w:rPr>
                <w:b w:val="0"/>
                <w:bCs w:val="0"/>
                <w:noProof/>
                <w:sz w:val="24"/>
                <w:szCs w:val="24"/>
              </w:rPr>
            </w:pPr>
            <w:r>
              <w:rPr>
                <w:b w:val="0"/>
                <w:bCs w:val="0"/>
                <w:noProof/>
                <w:sz w:val="24"/>
                <w:szCs w:val="24"/>
              </w:rPr>
              <w:t>… b</w:t>
            </w:r>
            <w:r w:rsidR="004676E8" w:rsidRPr="00102A1D">
              <w:rPr>
                <w:b w:val="0"/>
                <w:bCs w:val="0"/>
                <w:noProof/>
                <w:sz w:val="24"/>
                <w:szCs w:val="24"/>
              </w:rPr>
              <w:t>and change +/- 1 band</w:t>
            </w:r>
            <w:r>
              <w:rPr>
                <w:b w:val="0"/>
                <w:bCs w:val="0"/>
                <w:noProof/>
                <w:sz w:val="24"/>
                <w:szCs w:val="24"/>
              </w:rPr>
              <w:t>, s</w:t>
            </w:r>
            <w:r w:rsidR="004676E8" w:rsidRPr="00102A1D">
              <w:rPr>
                <w:b w:val="0"/>
                <w:bCs w:val="0"/>
                <w:noProof/>
                <w:sz w:val="24"/>
                <w:szCs w:val="24"/>
              </w:rPr>
              <w:t>ame placement type</w:t>
            </w:r>
          </w:p>
        </w:tc>
        <w:tc>
          <w:tcPr>
            <w:tcW w:w="1670" w:type="dxa"/>
            <w:tcBorders>
              <w:left w:val="single" w:sz="4" w:space="0" w:color="auto"/>
            </w:tcBorders>
            <w:vAlign w:val="center"/>
          </w:tcPr>
          <w:p w14:paraId="4DD42196"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5E19597F"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0D8B4D75" w14:textId="56CE21F1" w:rsidR="004676E8" w:rsidRPr="00102A1D" w:rsidRDefault="00102A1D"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102A1D">
              <w:rPr>
                <w:noProof/>
                <w:sz w:val="24"/>
                <w:szCs w:val="24"/>
              </w:rPr>
              <w:t>X</w:t>
            </w:r>
          </w:p>
        </w:tc>
        <w:tc>
          <w:tcPr>
            <w:tcW w:w="1671" w:type="dxa"/>
            <w:vAlign w:val="center"/>
          </w:tcPr>
          <w:p w14:paraId="34273FB2"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60C3605C"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42549B50"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42D72980"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r>
      <w:tr w:rsidR="004676E8" w14:paraId="49E11F12" w14:textId="77777777" w:rsidTr="00AA757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single" w:sz="4" w:space="0" w:color="auto"/>
              <w:bottom w:val="single" w:sz="4" w:space="0" w:color="auto"/>
              <w:right w:val="single" w:sz="4" w:space="0" w:color="auto"/>
            </w:tcBorders>
          </w:tcPr>
          <w:p w14:paraId="71EBA45A" w14:textId="40867175" w:rsidR="004676E8" w:rsidRPr="00102A1D" w:rsidRDefault="00102A1D" w:rsidP="00102A1D">
            <w:pPr>
              <w:pStyle w:val="ListParagraph"/>
              <w:ind w:left="306"/>
              <w:rPr>
                <w:b w:val="0"/>
                <w:bCs w:val="0"/>
                <w:noProof/>
                <w:sz w:val="24"/>
                <w:szCs w:val="24"/>
              </w:rPr>
            </w:pPr>
            <w:r>
              <w:rPr>
                <w:b w:val="0"/>
                <w:bCs w:val="0"/>
                <w:noProof/>
                <w:sz w:val="24"/>
                <w:szCs w:val="24"/>
              </w:rPr>
              <w:t xml:space="preserve">… </w:t>
            </w:r>
            <w:r w:rsidR="004676E8" w:rsidRPr="00102A1D">
              <w:rPr>
                <w:b w:val="0"/>
                <w:bCs w:val="0"/>
                <w:noProof/>
                <w:sz w:val="24"/>
                <w:szCs w:val="24"/>
              </w:rPr>
              <w:t>Band change +/- 2 or more bands</w:t>
            </w:r>
            <w:r>
              <w:rPr>
                <w:b w:val="0"/>
                <w:bCs w:val="0"/>
                <w:noProof/>
                <w:sz w:val="24"/>
                <w:szCs w:val="24"/>
              </w:rPr>
              <w:t>, c</w:t>
            </w:r>
            <w:r w:rsidR="004676E8" w:rsidRPr="00102A1D">
              <w:rPr>
                <w:b w:val="0"/>
                <w:bCs w:val="0"/>
                <w:noProof/>
                <w:sz w:val="24"/>
                <w:szCs w:val="24"/>
              </w:rPr>
              <w:t>hange of placement type</w:t>
            </w:r>
            <w:r>
              <w:rPr>
                <w:b w:val="0"/>
                <w:bCs w:val="0"/>
                <w:noProof/>
                <w:sz w:val="24"/>
                <w:szCs w:val="24"/>
              </w:rPr>
              <w:t>, c</w:t>
            </w:r>
            <w:r w:rsidR="004676E8" w:rsidRPr="00102A1D">
              <w:rPr>
                <w:b w:val="0"/>
                <w:bCs w:val="0"/>
                <w:noProof/>
                <w:sz w:val="24"/>
                <w:szCs w:val="24"/>
              </w:rPr>
              <w:t>ease EHCP</w:t>
            </w:r>
          </w:p>
        </w:tc>
        <w:tc>
          <w:tcPr>
            <w:tcW w:w="1670" w:type="dxa"/>
            <w:tcBorders>
              <w:left w:val="single" w:sz="4" w:space="0" w:color="auto"/>
            </w:tcBorders>
            <w:vAlign w:val="center"/>
          </w:tcPr>
          <w:p w14:paraId="780D15C4"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2908F0D2"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570B826D"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6F977D24" w14:textId="3CF8F5E4" w:rsidR="004676E8" w:rsidRPr="00102A1D"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102A1D">
              <w:rPr>
                <w:noProof/>
                <w:sz w:val="24"/>
                <w:szCs w:val="24"/>
              </w:rPr>
              <w:t>X</w:t>
            </w:r>
          </w:p>
        </w:tc>
        <w:tc>
          <w:tcPr>
            <w:tcW w:w="1671" w:type="dxa"/>
            <w:vAlign w:val="center"/>
          </w:tcPr>
          <w:p w14:paraId="21A8BD59"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6174CF21" w14:textId="35FDEF6A" w:rsidR="004676E8" w:rsidRPr="00102A1D"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102A1D">
              <w:rPr>
                <w:noProof/>
                <w:sz w:val="24"/>
                <w:szCs w:val="24"/>
              </w:rPr>
              <w:t>X</w:t>
            </w:r>
          </w:p>
        </w:tc>
        <w:tc>
          <w:tcPr>
            <w:tcW w:w="1671" w:type="dxa"/>
            <w:vAlign w:val="center"/>
          </w:tcPr>
          <w:p w14:paraId="593B0FFC" w14:textId="77777777" w:rsidR="004676E8" w:rsidRPr="00102A1D" w:rsidRDefault="004676E8"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r>
      <w:tr w:rsidR="004676E8" w14:paraId="705A7299" w14:textId="77777777" w:rsidTr="00AA7574">
        <w:trPr>
          <w:trHeight w:val="292"/>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single" w:sz="4" w:space="0" w:color="auto"/>
              <w:bottom w:val="single" w:sz="4" w:space="0" w:color="auto"/>
              <w:right w:val="single" w:sz="4" w:space="0" w:color="auto"/>
            </w:tcBorders>
          </w:tcPr>
          <w:p w14:paraId="2741BBE9" w14:textId="77777777" w:rsidR="004676E8" w:rsidRPr="00102A1D" w:rsidRDefault="004676E8" w:rsidP="00102A1D">
            <w:pPr>
              <w:pStyle w:val="ListParagraph"/>
              <w:numPr>
                <w:ilvl w:val="0"/>
                <w:numId w:val="12"/>
              </w:numPr>
              <w:ind w:left="306" w:hanging="284"/>
              <w:jc w:val="left"/>
              <w:rPr>
                <w:noProof/>
                <w:sz w:val="24"/>
                <w:szCs w:val="24"/>
              </w:rPr>
            </w:pPr>
            <w:r w:rsidRPr="00102A1D">
              <w:rPr>
                <w:noProof/>
                <w:sz w:val="24"/>
                <w:szCs w:val="24"/>
              </w:rPr>
              <w:t>Non-EHCP top-ups</w:t>
            </w:r>
          </w:p>
          <w:p w14:paraId="6672827B" w14:textId="74D0E373" w:rsidR="00CC7EB6" w:rsidRPr="00102A1D" w:rsidRDefault="00CC7EB6" w:rsidP="00102A1D">
            <w:pPr>
              <w:pStyle w:val="ListParagraph"/>
              <w:ind w:left="306"/>
              <w:rPr>
                <w:b w:val="0"/>
                <w:bCs w:val="0"/>
                <w:noProof/>
                <w:sz w:val="24"/>
                <w:szCs w:val="24"/>
              </w:rPr>
            </w:pPr>
            <w:r w:rsidRPr="00102A1D">
              <w:rPr>
                <w:b w:val="0"/>
                <w:bCs w:val="0"/>
                <w:noProof/>
                <w:sz w:val="24"/>
                <w:szCs w:val="24"/>
              </w:rPr>
              <w:t>Medical needs</w:t>
            </w:r>
          </w:p>
        </w:tc>
        <w:tc>
          <w:tcPr>
            <w:tcW w:w="1670" w:type="dxa"/>
            <w:tcBorders>
              <w:left w:val="single" w:sz="4" w:space="0" w:color="auto"/>
            </w:tcBorders>
            <w:vAlign w:val="center"/>
          </w:tcPr>
          <w:p w14:paraId="520491CF"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145A85F9"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6FD257C7"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737E6194" w14:textId="4B44DFB6" w:rsidR="004676E8" w:rsidRPr="00102A1D" w:rsidRDefault="00102A1D"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102A1D">
              <w:rPr>
                <w:noProof/>
                <w:sz w:val="24"/>
                <w:szCs w:val="24"/>
              </w:rPr>
              <w:t>X</w:t>
            </w:r>
          </w:p>
        </w:tc>
        <w:tc>
          <w:tcPr>
            <w:tcW w:w="1671" w:type="dxa"/>
            <w:vAlign w:val="center"/>
          </w:tcPr>
          <w:p w14:paraId="5272675F"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09F4840D" w14:textId="69D68933" w:rsidR="004676E8" w:rsidRPr="00102A1D" w:rsidRDefault="00102A1D"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102A1D">
              <w:rPr>
                <w:noProof/>
                <w:sz w:val="24"/>
                <w:szCs w:val="24"/>
              </w:rPr>
              <w:t>X</w:t>
            </w:r>
          </w:p>
        </w:tc>
        <w:tc>
          <w:tcPr>
            <w:tcW w:w="1671" w:type="dxa"/>
            <w:vAlign w:val="center"/>
          </w:tcPr>
          <w:p w14:paraId="047AA6B7" w14:textId="77777777" w:rsidR="004676E8" w:rsidRPr="00102A1D" w:rsidRDefault="004676E8"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r>
      <w:tr w:rsidR="00CC7EB6" w14:paraId="4B411812" w14:textId="77777777" w:rsidTr="00AA75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single" w:sz="4" w:space="0" w:color="auto"/>
              <w:bottom w:val="single" w:sz="4" w:space="0" w:color="auto"/>
              <w:right w:val="single" w:sz="4" w:space="0" w:color="auto"/>
            </w:tcBorders>
          </w:tcPr>
          <w:p w14:paraId="324B2636" w14:textId="2D5D0C87" w:rsidR="00CC7EB6" w:rsidRPr="00102A1D" w:rsidRDefault="00102A1D" w:rsidP="00102A1D">
            <w:pPr>
              <w:pStyle w:val="ListParagraph"/>
              <w:ind w:left="306"/>
              <w:rPr>
                <w:b w:val="0"/>
                <w:bCs w:val="0"/>
                <w:noProof/>
                <w:sz w:val="24"/>
                <w:szCs w:val="24"/>
              </w:rPr>
            </w:pPr>
            <w:r>
              <w:rPr>
                <w:b w:val="0"/>
                <w:bCs w:val="0"/>
                <w:noProof/>
                <w:sz w:val="24"/>
                <w:szCs w:val="24"/>
              </w:rPr>
              <w:t>… t</w:t>
            </w:r>
            <w:r w:rsidR="00CC7EB6" w:rsidRPr="00102A1D">
              <w:rPr>
                <w:b w:val="0"/>
                <w:bCs w:val="0"/>
                <w:noProof/>
                <w:sz w:val="24"/>
                <w:szCs w:val="24"/>
              </w:rPr>
              <w:t>ransition top ups</w:t>
            </w:r>
          </w:p>
        </w:tc>
        <w:tc>
          <w:tcPr>
            <w:tcW w:w="1670" w:type="dxa"/>
            <w:tcBorders>
              <w:left w:val="single" w:sz="4" w:space="0" w:color="auto"/>
              <w:bottom w:val="single" w:sz="4" w:space="0" w:color="auto"/>
            </w:tcBorders>
            <w:vAlign w:val="center"/>
          </w:tcPr>
          <w:p w14:paraId="0805A130" w14:textId="77777777" w:rsidR="00CC7EB6" w:rsidRPr="00102A1D" w:rsidRDefault="00CC7EB6"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bottom w:val="single" w:sz="4" w:space="0" w:color="auto"/>
            </w:tcBorders>
            <w:vAlign w:val="center"/>
          </w:tcPr>
          <w:p w14:paraId="5B05716C" w14:textId="77777777" w:rsidR="00CC7EB6" w:rsidRPr="00102A1D" w:rsidRDefault="00CC7EB6"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bottom w:val="single" w:sz="4" w:space="0" w:color="auto"/>
            </w:tcBorders>
            <w:vAlign w:val="center"/>
          </w:tcPr>
          <w:p w14:paraId="7ADD24E8" w14:textId="77777777" w:rsidR="00CC7EB6" w:rsidRPr="00102A1D" w:rsidRDefault="00CC7EB6"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bottom w:val="single" w:sz="4" w:space="0" w:color="auto"/>
            </w:tcBorders>
            <w:vAlign w:val="center"/>
          </w:tcPr>
          <w:p w14:paraId="10DDCEF9" w14:textId="34F8E3B8" w:rsidR="00CC7EB6" w:rsidRPr="00102A1D"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102A1D">
              <w:rPr>
                <w:noProof/>
                <w:sz w:val="24"/>
                <w:szCs w:val="24"/>
              </w:rPr>
              <w:t>X</w:t>
            </w:r>
          </w:p>
        </w:tc>
        <w:tc>
          <w:tcPr>
            <w:tcW w:w="1671" w:type="dxa"/>
            <w:tcBorders>
              <w:bottom w:val="single" w:sz="4" w:space="0" w:color="auto"/>
            </w:tcBorders>
            <w:vAlign w:val="center"/>
          </w:tcPr>
          <w:p w14:paraId="2859CF25" w14:textId="77777777" w:rsidR="00CC7EB6" w:rsidRPr="00102A1D" w:rsidRDefault="00CC7EB6"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bottom w:val="single" w:sz="4" w:space="0" w:color="auto"/>
            </w:tcBorders>
            <w:vAlign w:val="center"/>
          </w:tcPr>
          <w:p w14:paraId="186C8A1F" w14:textId="665A659B" w:rsidR="00CC7EB6" w:rsidRPr="00102A1D"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102A1D">
              <w:rPr>
                <w:noProof/>
                <w:sz w:val="24"/>
                <w:szCs w:val="24"/>
              </w:rPr>
              <w:t>X</w:t>
            </w:r>
          </w:p>
        </w:tc>
        <w:tc>
          <w:tcPr>
            <w:tcW w:w="1671" w:type="dxa"/>
            <w:tcBorders>
              <w:bottom w:val="single" w:sz="4" w:space="0" w:color="auto"/>
            </w:tcBorders>
            <w:vAlign w:val="center"/>
          </w:tcPr>
          <w:p w14:paraId="16FB8C46" w14:textId="77777777" w:rsidR="00CC7EB6" w:rsidRPr="00102A1D" w:rsidRDefault="00CC7EB6"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r>
      <w:tr w:rsidR="00AA7574" w14:paraId="0239AD13" w14:textId="77777777" w:rsidTr="00AA7574">
        <w:trPr>
          <w:trHeight w:val="340"/>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single" w:sz="4" w:space="0" w:color="auto"/>
              <w:bottom w:val="single" w:sz="4" w:space="0" w:color="auto"/>
              <w:right w:val="single" w:sz="4" w:space="0" w:color="auto"/>
            </w:tcBorders>
          </w:tcPr>
          <w:p w14:paraId="2F828C74" w14:textId="4D827C6C" w:rsidR="00AA7574" w:rsidRPr="00102A1D" w:rsidRDefault="00AA7574" w:rsidP="00102A1D">
            <w:pPr>
              <w:pStyle w:val="ListParagraph"/>
              <w:ind w:left="306"/>
              <w:rPr>
                <w:b w:val="0"/>
                <w:bCs w:val="0"/>
                <w:noProof/>
                <w:sz w:val="24"/>
                <w:szCs w:val="24"/>
              </w:rPr>
            </w:pPr>
            <w:r w:rsidRPr="008577D7">
              <w:rPr>
                <w:b w:val="0"/>
                <w:bCs w:val="0"/>
                <w:noProof/>
                <w:sz w:val="24"/>
                <w:szCs w:val="24"/>
              </w:rPr>
              <w:t>…post 16 top-ups</w:t>
            </w:r>
          </w:p>
        </w:tc>
        <w:tc>
          <w:tcPr>
            <w:tcW w:w="1670" w:type="dxa"/>
            <w:tcBorders>
              <w:top w:val="single" w:sz="4" w:space="0" w:color="auto"/>
              <w:left w:val="single" w:sz="4" w:space="0" w:color="auto"/>
              <w:bottom w:val="single" w:sz="4" w:space="0" w:color="auto"/>
              <w:right w:val="nil"/>
            </w:tcBorders>
            <w:vAlign w:val="center"/>
          </w:tcPr>
          <w:p w14:paraId="577B1F32" w14:textId="77777777" w:rsidR="00AA7574" w:rsidRPr="00D15F07" w:rsidRDefault="00AA7574" w:rsidP="00102A1D">
            <w:pPr>
              <w:jc w:val="center"/>
              <w:cnfStyle w:val="000000000000" w:firstRow="0" w:lastRow="0" w:firstColumn="0" w:lastColumn="0" w:oddVBand="0" w:evenVBand="0" w:oddHBand="0" w:evenHBand="0" w:firstRowFirstColumn="0" w:firstRowLastColumn="0" w:lastRowFirstColumn="0" w:lastRowLastColumn="0"/>
              <w:rPr>
                <w:i/>
                <w:iCs/>
                <w:noProof/>
                <w:sz w:val="24"/>
                <w:szCs w:val="24"/>
              </w:rPr>
            </w:pPr>
            <w:r w:rsidRPr="00D15F07">
              <w:rPr>
                <w:i/>
                <w:iCs/>
                <w:noProof/>
                <w:sz w:val="20"/>
                <w:szCs w:val="20"/>
              </w:rPr>
              <w:t>To be confirmed</w:t>
            </w:r>
            <w:r>
              <w:rPr>
                <w:i/>
                <w:iCs/>
                <w:noProof/>
                <w:sz w:val="20"/>
                <w:szCs w:val="20"/>
              </w:rPr>
              <w:t xml:space="preserve"> see Head of SEND Strategy &amp; Innovation</w:t>
            </w:r>
          </w:p>
        </w:tc>
        <w:tc>
          <w:tcPr>
            <w:tcW w:w="1671" w:type="dxa"/>
            <w:tcBorders>
              <w:top w:val="single" w:sz="4" w:space="0" w:color="auto"/>
              <w:left w:val="nil"/>
              <w:bottom w:val="single" w:sz="4" w:space="0" w:color="auto"/>
              <w:right w:val="nil"/>
            </w:tcBorders>
            <w:vAlign w:val="center"/>
          </w:tcPr>
          <w:p w14:paraId="2968ABF1" w14:textId="77777777" w:rsidR="00AA7574" w:rsidRPr="00D15F07" w:rsidRDefault="00AA7574" w:rsidP="00102A1D">
            <w:pPr>
              <w:jc w:val="center"/>
              <w:cnfStyle w:val="000000000000" w:firstRow="0" w:lastRow="0" w:firstColumn="0" w:lastColumn="0" w:oddVBand="0" w:evenVBand="0" w:oddHBand="0" w:evenHBand="0" w:firstRowFirstColumn="0" w:firstRowLastColumn="0" w:lastRowFirstColumn="0" w:lastRowLastColumn="0"/>
              <w:rPr>
                <w:i/>
                <w:iCs/>
                <w:noProof/>
                <w:sz w:val="24"/>
                <w:szCs w:val="24"/>
              </w:rPr>
            </w:pPr>
          </w:p>
        </w:tc>
        <w:tc>
          <w:tcPr>
            <w:tcW w:w="1671" w:type="dxa"/>
            <w:tcBorders>
              <w:top w:val="single" w:sz="4" w:space="0" w:color="auto"/>
              <w:left w:val="nil"/>
              <w:bottom w:val="single" w:sz="4" w:space="0" w:color="auto"/>
              <w:right w:val="nil"/>
            </w:tcBorders>
            <w:vAlign w:val="center"/>
          </w:tcPr>
          <w:p w14:paraId="2F98F546" w14:textId="77777777" w:rsidR="00AA7574" w:rsidRPr="00D15F07" w:rsidRDefault="00AA7574" w:rsidP="00102A1D">
            <w:pPr>
              <w:jc w:val="center"/>
              <w:cnfStyle w:val="000000000000" w:firstRow="0" w:lastRow="0" w:firstColumn="0" w:lastColumn="0" w:oddVBand="0" w:evenVBand="0" w:oddHBand="0" w:evenHBand="0" w:firstRowFirstColumn="0" w:firstRowLastColumn="0" w:lastRowFirstColumn="0" w:lastRowLastColumn="0"/>
              <w:rPr>
                <w:i/>
                <w:iCs/>
                <w:noProof/>
                <w:sz w:val="24"/>
                <w:szCs w:val="24"/>
              </w:rPr>
            </w:pPr>
          </w:p>
        </w:tc>
        <w:tc>
          <w:tcPr>
            <w:tcW w:w="1671" w:type="dxa"/>
            <w:tcBorders>
              <w:top w:val="single" w:sz="4" w:space="0" w:color="auto"/>
              <w:left w:val="nil"/>
              <w:bottom w:val="single" w:sz="4" w:space="0" w:color="auto"/>
              <w:right w:val="nil"/>
            </w:tcBorders>
            <w:vAlign w:val="center"/>
          </w:tcPr>
          <w:p w14:paraId="1A06452A" w14:textId="77777777" w:rsidR="00AA7574" w:rsidRPr="00D15F07" w:rsidRDefault="00AA7574" w:rsidP="00102A1D">
            <w:pPr>
              <w:jc w:val="center"/>
              <w:cnfStyle w:val="000000000000" w:firstRow="0" w:lastRow="0" w:firstColumn="0" w:lastColumn="0" w:oddVBand="0" w:evenVBand="0" w:oddHBand="0" w:evenHBand="0" w:firstRowFirstColumn="0" w:firstRowLastColumn="0" w:lastRowFirstColumn="0" w:lastRowLastColumn="0"/>
              <w:rPr>
                <w:i/>
                <w:iCs/>
                <w:noProof/>
                <w:sz w:val="24"/>
                <w:szCs w:val="24"/>
              </w:rPr>
            </w:pPr>
          </w:p>
        </w:tc>
        <w:tc>
          <w:tcPr>
            <w:tcW w:w="1671" w:type="dxa"/>
            <w:tcBorders>
              <w:top w:val="single" w:sz="4" w:space="0" w:color="auto"/>
              <w:left w:val="nil"/>
              <w:bottom w:val="single" w:sz="4" w:space="0" w:color="auto"/>
              <w:right w:val="nil"/>
            </w:tcBorders>
            <w:vAlign w:val="center"/>
          </w:tcPr>
          <w:p w14:paraId="7D9821B7" w14:textId="77777777" w:rsidR="00AA7574" w:rsidRPr="00D15F07" w:rsidRDefault="00AA7574" w:rsidP="00102A1D">
            <w:pPr>
              <w:jc w:val="center"/>
              <w:cnfStyle w:val="000000000000" w:firstRow="0" w:lastRow="0" w:firstColumn="0" w:lastColumn="0" w:oddVBand="0" w:evenVBand="0" w:oddHBand="0" w:evenHBand="0" w:firstRowFirstColumn="0" w:firstRowLastColumn="0" w:lastRowFirstColumn="0" w:lastRowLastColumn="0"/>
              <w:rPr>
                <w:i/>
                <w:iCs/>
                <w:noProof/>
                <w:sz w:val="24"/>
                <w:szCs w:val="24"/>
              </w:rPr>
            </w:pPr>
          </w:p>
        </w:tc>
        <w:tc>
          <w:tcPr>
            <w:tcW w:w="1671" w:type="dxa"/>
            <w:tcBorders>
              <w:top w:val="single" w:sz="4" w:space="0" w:color="auto"/>
              <w:left w:val="nil"/>
              <w:bottom w:val="single" w:sz="4" w:space="0" w:color="auto"/>
              <w:right w:val="nil"/>
            </w:tcBorders>
            <w:vAlign w:val="center"/>
          </w:tcPr>
          <w:p w14:paraId="505251EE" w14:textId="77777777" w:rsidR="00AA7574" w:rsidRPr="00D15F07" w:rsidRDefault="00AA7574" w:rsidP="00102A1D">
            <w:pPr>
              <w:jc w:val="center"/>
              <w:cnfStyle w:val="000000000000" w:firstRow="0" w:lastRow="0" w:firstColumn="0" w:lastColumn="0" w:oddVBand="0" w:evenVBand="0" w:oddHBand="0" w:evenHBand="0" w:firstRowFirstColumn="0" w:firstRowLastColumn="0" w:lastRowFirstColumn="0" w:lastRowLastColumn="0"/>
              <w:rPr>
                <w:i/>
                <w:iCs/>
                <w:noProof/>
                <w:sz w:val="24"/>
                <w:szCs w:val="24"/>
              </w:rPr>
            </w:pPr>
          </w:p>
        </w:tc>
        <w:tc>
          <w:tcPr>
            <w:tcW w:w="1671" w:type="dxa"/>
            <w:tcBorders>
              <w:top w:val="single" w:sz="4" w:space="0" w:color="auto"/>
              <w:left w:val="nil"/>
              <w:bottom w:val="single" w:sz="4" w:space="0" w:color="auto"/>
              <w:right w:val="nil"/>
            </w:tcBorders>
            <w:vAlign w:val="center"/>
          </w:tcPr>
          <w:p w14:paraId="43507F8A" w14:textId="014537D2" w:rsidR="00AA7574" w:rsidRPr="00D15F07" w:rsidRDefault="00AA7574" w:rsidP="00102A1D">
            <w:pPr>
              <w:jc w:val="center"/>
              <w:cnfStyle w:val="000000000000" w:firstRow="0" w:lastRow="0" w:firstColumn="0" w:lastColumn="0" w:oddVBand="0" w:evenVBand="0" w:oddHBand="0" w:evenHBand="0" w:firstRowFirstColumn="0" w:firstRowLastColumn="0" w:lastRowFirstColumn="0" w:lastRowLastColumn="0"/>
              <w:rPr>
                <w:i/>
                <w:iCs/>
                <w:noProof/>
                <w:sz w:val="24"/>
                <w:szCs w:val="24"/>
              </w:rPr>
            </w:pPr>
          </w:p>
        </w:tc>
      </w:tr>
      <w:tr w:rsidR="00CC7EB6" w14:paraId="490CD934" w14:textId="77777777" w:rsidTr="00AA757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single" w:sz="4" w:space="0" w:color="auto"/>
              <w:bottom w:val="single" w:sz="4" w:space="0" w:color="auto"/>
              <w:right w:val="single" w:sz="4" w:space="0" w:color="auto"/>
            </w:tcBorders>
          </w:tcPr>
          <w:p w14:paraId="5C47AAB4" w14:textId="3C11D39B" w:rsidR="00CC7EB6" w:rsidRPr="00102A1D" w:rsidRDefault="00102A1D" w:rsidP="00102A1D">
            <w:pPr>
              <w:pStyle w:val="ListParagraph"/>
              <w:numPr>
                <w:ilvl w:val="0"/>
                <w:numId w:val="12"/>
              </w:numPr>
              <w:ind w:left="306" w:hanging="284"/>
              <w:jc w:val="left"/>
              <w:rPr>
                <w:noProof/>
                <w:sz w:val="24"/>
                <w:szCs w:val="24"/>
              </w:rPr>
            </w:pPr>
            <w:r w:rsidRPr="00102A1D">
              <w:rPr>
                <w:noProof/>
                <w:sz w:val="24"/>
                <w:szCs w:val="24"/>
              </w:rPr>
              <w:t>Adopting EHCPs from other areas</w:t>
            </w:r>
          </w:p>
          <w:p w14:paraId="1CAEAB91" w14:textId="617CC588" w:rsidR="00CC7EB6" w:rsidRPr="00102A1D" w:rsidRDefault="00102A1D" w:rsidP="00102A1D">
            <w:pPr>
              <w:pStyle w:val="ListParagraph"/>
              <w:ind w:left="306"/>
              <w:rPr>
                <w:b w:val="0"/>
                <w:bCs w:val="0"/>
                <w:noProof/>
                <w:sz w:val="24"/>
                <w:szCs w:val="24"/>
              </w:rPr>
            </w:pPr>
            <w:r w:rsidRPr="00102A1D">
              <w:rPr>
                <w:b w:val="0"/>
                <w:bCs w:val="0"/>
                <w:noProof/>
                <w:sz w:val="24"/>
                <w:szCs w:val="24"/>
              </w:rPr>
              <w:t>Straightforward/ direct equivalent</w:t>
            </w:r>
          </w:p>
        </w:tc>
        <w:tc>
          <w:tcPr>
            <w:tcW w:w="1670" w:type="dxa"/>
            <w:tcBorders>
              <w:top w:val="single" w:sz="4" w:space="0" w:color="auto"/>
              <w:left w:val="single" w:sz="4" w:space="0" w:color="auto"/>
            </w:tcBorders>
            <w:vAlign w:val="center"/>
          </w:tcPr>
          <w:p w14:paraId="73F88894" w14:textId="77777777" w:rsidR="00CC7EB6" w:rsidRPr="00102A1D" w:rsidRDefault="00CC7EB6"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top w:val="single" w:sz="4" w:space="0" w:color="auto"/>
            </w:tcBorders>
            <w:vAlign w:val="center"/>
          </w:tcPr>
          <w:p w14:paraId="209C8ABB" w14:textId="77777777" w:rsidR="00CC7EB6" w:rsidRPr="00102A1D" w:rsidRDefault="00CC7EB6"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top w:val="single" w:sz="4" w:space="0" w:color="auto"/>
            </w:tcBorders>
            <w:vAlign w:val="center"/>
          </w:tcPr>
          <w:p w14:paraId="3082F03E" w14:textId="2C47291A" w:rsidR="00CC7EB6" w:rsidRPr="00102A1D"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102A1D">
              <w:rPr>
                <w:noProof/>
                <w:sz w:val="24"/>
                <w:szCs w:val="24"/>
              </w:rPr>
              <w:t>X</w:t>
            </w:r>
          </w:p>
        </w:tc>
        <w:tc>
          <w:tcPr>
            <w:tcW w:w="1671" w:type="dxa"/>
            <w:tcBorders>
              <w:top w:val="single" w:sz="4" w:space="0" w:color="auto"/>
            </w:tcBorders>
            <w:vAlign w:val="center"/>
          </w:tcPr>
          <w:p w14:paraId="2A4738DE" w14:textId="77777777" w:rsidR="00CC7EB6" w:rsidRPr="00102A1D" w:rsidRDefault="00CC7EB6"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top w:val="single" w:sz="4" w:space="0" w:color="auto"/>
            </w:tcBorders>
            <w:vAlign w:val="center"/>
          </w:tcPr>
          <w:p w14:paraId="095D54EC" w14:textId="77777777" w:rsidR="00CC7EB6" w:rsidRPr="00102A1D" w:rsidRDefault="00CC7EB6"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top w:val="single" w:sz="4" w:space="0" w:color="auto"/>
            </w:tcBorders>
            <w:vAlign w:val="center"/>
          </w:tcPr>
          <w:p w14:paraId="5C8FA505" w14:textId="77777777" w:rsidR="00CC7EB6" w:rsidRPr="00102A1D" w:rsidRDefault="00CC7EB6"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top w:val="single" w:sz="4" w:space="0" w:color="auto"/>
            </w:tcBorders>
            <w:vAlign w:val="center"/>
          </w:tcPr>
          <w:p w14:paraId="0DBA8F01" w14:textId="77777777" w:rsidR="00CC7EB6" w:rsidRPr="00102A1D" w:rsidRDefault="00CC7EB6"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r>
      <w:tr w:rsidR="00102A1D" w14:paraId="665D4B5C" w14:textId="77777777" w:rsidTr="00AA7574">
        <w:trPr>
          <w:trHeight w:val="292"/>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single" w:sz="4" w:space="0" w:color="auto"/>
              <w:bottom w:val="single" w:sz="4" w:space="0" w:color="auto"/>
              <w:right w:val="single" w:sz="4" w:space="0" w:color="auto"/>
            </w:tcBorders>
          </w:tcPr>
          <w:p w14:paraId="4B4A5D4A" w14:textId="35FCDEAA" w:rsidR="00102A1D" w:rsidRPr="00102A1D" w:rsidRDefault="00102A1D" w:rsidP="00102A1D">
            <w:pPr>
              <w:pStyle w:val="ListParagraph"/>
              <w:ind w:left="306"/>
              <w:jc w:val="left"/>
              <w:rPr>
                <w:b w:val="0"/>
                <w:bCs w:val="0"/>
                <w:noProof/>
                <w:sz w:val="24"/>
                <w:szCs w:val="24"/>
              </w:rPr>
            </w:pPr>
            <w:r>
              <w:rPr>
                <w:b w:val="0"/>
                <w:bCs w:val="0"/>
                <w:noProof/>
                <w:sz w:val="24"/>
                <w:szCs w:val="24"/>
              </w:rPr>
              <w:t>… no direct equivalent in Essex</w:t>
            </w:r>
          </w:p>
        </w:tc>
        <w:tc>
          <w:tcPr>
            <w:tcW w:w="1670" w:type="dxa"/>
            <w:tcBorders>
              <w:left w:val="single" w:sz="4" w:space="0" w:color="auto"/>
            </w:tcBorders>
            <w:vAlign w:val="center"/>
          </w:tcPr>
          <w:p w14:paraId="7EE9B2D3" w14:textId="77777777" w:rsidR="00102A1D" w:rsidRPr="00102A1D" w:rsidRDefault="00102A1D"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667E4BC6" w14:textId="77777777" w:rsidR="00102A1D" w:rsidRPr="00102A1D" w:rsidRDefault="00102A1D"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162DE657" w14:textId="77777777" w:rsidR="00102A1D" w:rsidRPr="00102A1D" w:rsidRDefault="00102A1D"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79EA514C" w14:textId="3E7C5F5E" w:rsidR="00102A1D" w:rsidRPr="00102A1D" w:rsidRDefault="00102A1D"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102A1D">
              <w:rPr>
                <w:noProof/>
                <w:sz w:val="24"/>
                <w:szCs w:val="24"/>
              </w:rPr>
              <w:t>X</w:t>
            </w:r>
          </w:p>
        </w:tc>
        <w:tc>
          <w:tcPr>
            <w:tcW w:w="1671" w:type="dxa"/>
            <w:vAlign w:val="center"/>
          </w:tcPr>
          <w:p w14:paraId="2D3DCB91" w14:textId="77777777" w:rsidR="00102A1D" w:rsidRPr="00102A1D" w:rsidRDefault="00102A1D"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vAlign w:val="center"/>
          </w:tcPr>
          <w:p w14:paraId="36B7565D" w14:textId="44636E31" w:rsidR="00102A1D" w:rsidRPr="00102A1D" w:rsidRDefault="00102A1D"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102A1D">
              <w:rPr>
                <w:noProof/>
                <w:sz w:val="24"/>
                <w:szCs w:val="24"/>
              </w:rPr>
              <w:t>X</w:t>
            </w:r>
          </w:p>
        </w:tc>
        <w:tc>
          <w:tcPr>
            <w:tcW w:w="1671" w:type="dxa"/>
            <w:vAlign w:val="center"/>
          </w:tcPr>
          <w:p w14:paraId="3278FBB6" w14:textId="77777777" w:rsidR="00102A1D" w:rsidRPr="00102A1D" w:rsidRDefault="00102A1D"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r>
      <w:tr w:rsidR="00102A1D" w14:paraId="02E9CE10" w14:textId="77777777" w:rsidTr="00AA757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single" w:sz="4" w:space="0" w:color="auto"/>
              <w:bottom w:val="single" w:sz="4" w:space="0" w:color="auto"/>
              <w:right w:val="single" w:sz="4" w:space="0" w:color="auto"/>
            </w:tcBorders>
          </w:tcPr>
          <w:p w14:paraId="57E3DEC9" w14:textId="77777777" w:rsidR="00102A1D" w:rsidRPr="00102A1D" w:rsidRDefault="00102A1D" w:rsidP="00102A1D">
            <w:pPr>
              <w:pStyle w:val="ListParagraph"/>
              <w:numPr>
                <w:ilvl w:val="0"/>
                <w:numId w:val="12"/>
              </w:numPr>
              <w:ind w:left="306" w:hanging="284"/>
              <w:jc w:val="left"/>
              <w:rPr>
                <w:noProof/>
                <w:sz w:val="24"/>
                <w:szCs w:val="24"/>
              </w:rPr>
            </w:pPr>
            <w:r w:rsidRPr="00102A1D">
              <w:rPr>
                <w:noProof/>
                <w:sz w:val="24"/>
                <w:szCs w:val="24"/>
              </w:rPr>
              <w:t>Requests for high bands of funding</w:t>
            </w:r>
          </w:p>
          <w:p w14:paraId="28A3AFC3" w14:textId="574A491E" w:rsidR="00102A1D" w:rsidRPr="00102A1D" w:rsidRDefault="00102A1D" w:rsidP="00102A1D">
            <w:pPr>
              <w:pStyle w:val="ListParagraph"/>
              <w:ind w:left="306"/>
              <w:jc w:val="left"/>
              <w:rPr>
                <w:b w:val="0"/>
                <w:bCs w:val="0"/>
                <w:noProof/>
                <w:sz w:val="24"/>
                <w:szCs w:val="24"/>
              </w:rPr>
            </w:pPr>
            <w:r w:rsidRPr="00102A1D">
              <w:rPr>
                <w:b w:val="0"/>
                <w:bCs w:val="0"/>
                <w:noProof/>
                <w:sz w:val="24"/>
                <w:szCs w:val="24"/>
              </w:rPr>
              <w:t>5+ mainstream, 8+ special</w:t>
            </w:r>
          </w:p>
        </w:tc>
        <w:tc>
          <w:tcPr>
            <w:tcW w:w="1670" w:type="dxa"/>
            <w:tcBorders>
              <w:left w:val="single" w:sz="4" w:space="0" w:color="auto"/>
            </w:tcBorders>
            <w:vAlign w:val="center"/>
          </w:tcPr>
          <w:p w14:paraId="2A9A94BF" w14:textId="77777777" w:rsidR="00102A1D" w:rsidRPr="00102A1D"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0749331D" w14:textId="77777777" w:rsidR="00102A1D" w:rsidRPr="00102A1D"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1E3A9D34" w14:textId="77777777" w:rsidR="00102A1D" w:rsidRPr="00102A1D"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49AD9A2C" w14:textId="77777777" w:rsidR="00102A1D" w:rsidRPr="00102A1D"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2400725D" w14:textId="77777777" w:rsidR="00102A1D" w:rsidRPr="00102A1D"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40300E3C" w14:textId="77777777" w:rsidR="00102A1D" w:rsidRPr="00102A1D"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vAlign w:val="center"/>
          </w:tcPr>
          <w:p w14:paraId="0E9EF355" w14:textId="35872DDC" w:rsidR="00102A1D" w:rsidRPr="00102A1D" w:rsidRDefault="00102A1D" w:rsidP="00102A1D">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102A1D">
              <w:rPr>
                <w:noProof/>
                <w:sz w:val="24"/>
                <w:szCs w:val="24"/>
              </w:rPr>
              <w:t>X</w:t>
            </w:r>
          </w:p>
        </w:tc>
      </w:tr>
      <w:tr w:rsidR="006E0C0F" w14:paraId="0DC3B0C3" w14:textId="77777777" w:rsidTr="00AA7574">
        <w:trPr>
          <w:trHeight w:val="292"/>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single" w:sz="4" w:space="0" w:color="auto"/>
              <w:bottom w:val="single" w:sz="4" w:space="0" w:color="auto"/>
              <w:right w:val="single" w:sz="4" w:space="0" w:color="auto"/>
            </w:tcBorders>
          </w:tcPr>
          <w:p w14:paraId="714C9DF4" w14:textId="44F31A8C" w:rsidR="006E0C0F" w:rsidRPr="00102A1D" w:rsidRDefault="006E0C0F" w:rsidP="00102A1D">
            <w:pPr>
              <w:pStyle w:val="ListParagraph"/>
              <w:numPr>
                <w:ilvl w:val="0"/>
                <w:numId w:val="12"/>
              </w:numPr>
              <w:ind w:left="306" w:hanging="284"/>
              <w:jc w:val="left"/>
              <w:rPr>
                <w:noProof/>
                <w:sz w:val="24"/>
                <w:szCs w:val="24"/>
              </w:rPr>
            </w:pPr>
            <w:r w:rsidRPr="008235DA">
              <w:rPr>
                <w:noProof/>
                <w:sz w:val="24"/>
                <w:szCs w:val="24"/>
              </w:rPr>
              <w:t>Requests for independent sector placements</w:t>
            </w:r>
          </w:p>
        </w:tc>
        <w:tc>
          <w:tcPr>
            <w:tcW w:w="1670" w:type="dxa"/>
            <w:tcBorders>
              <w:left w:val="single" w:sz="4" w:space="0" w:color="auto"/>
              <w:bottom w:val="single" w:sz="4" w:space="0" w:color="auto"/>
            </w:tcBorders>
            <w:vAlign w:val="center"/>
          </w:tcPr>
          <w:p w14:paraId="23549859" w14:textId="77777777" w:rsidR="006E0C0F" w:rsidRPr="00102A1D" w:rsidRDefault="006E0C0F"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tcBorders>
              <w:bottom w:val="single" w:sz="4" w:space="0" w:color="auto"/>
            </w:tcBorders>
            <w:vAlign w:val="center"/>
          </w:tcPr>
          <w:p w14:paraId="7F6547CC" w14:textId="77777777" w:rsidR="006E0C0F" w:rsidRPr="00102A1D" w:rsidRDefault="006E0C0F"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tcBorders>
              <w:bottom w:val="single" w:sz="4" w:space="0" w:color="auto"/>
            </w:tcBorders>
            <w:vAlign w:val="center"/>
          </w:tcPr>
          <w:p w14:paraId="6B806986" w14:textId="77777777" w:rsidR="006E0C0F" w:rsidRPr="00102A1D" w:rsidRDefault="006E0C0F"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tcBorders>
              <w:bottom w:val="single" w:sz="4" w:space="0" w:color="auto"/>
            </w:tcBorders>
            <w:vAlign w:val="center"/>
          </w:tcPr>
          <w:p w14:paraId="385D22CE" w14:textId="77777777" w:rsidR="006E0C0F" w:rsidRPr="00102A1D" w:rsidRDefault="006E0C0F"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tcBorders>
              <w:bottom w:val="single" w:sz="4" w:space="0" w:color="auto"/>
            </w:tcBorders>
            <w:vAlign w:val="center"/>
          </w:tcPr>
          <w:p w14:paraId="680D0CAE" w14:textId="77777777" w:rsidR="006E0C0F" w:rsidRPr="00102A1D" w:rsidRDefault="006E0C0F"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tcBorders>
              <w:bottom w:val="single" w:sz="4" w:space="0" w:color="auto"/>
            </w:tcBorders>
            <w:vAlign w:val="center"/>
          </w:tcPr>
          <w:p w14:paraId="57AC52DD" w14:textId="77777777" w:rsidR="006E0C0F" w:rsidRPr="00102A1D" w:rsidRDefault="006E0C0F"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71" w:type="dxa"/>
            <w:tcBorders>
              <w:bottom w:val="single" w:sz="4" w:space="0" w:color="auto"/>
            </w:tcBorders>
            <w:vAlign w:val="center"/>
          </w:tcPr>
          <w:p w14:paraId="08F3D875" w14:textId="3D4E4653" w:rsidR="006E0C0F" w:rsidRPr="00102A1D" w:rsidRDefault="006E0C0F" w:rsidP="00102A1D">
            <w:pPr>
              <w:jc w:val="center"/>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X</w:t>
            </w:r>
          </w:p>
        </w:tc>
      </w:tr>
      <w:tr w:rsidR="00AA7574" w14:paraId="4214D2E3" w14:textId="77777777" w:rsidTr="00AA7574">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single" w:sz="4" w:space="0" w:color="auto"/>
              <w:bottom w:val="single" w:sz="4" w:space="0" w:color="auto"/>
              <w:right w:val="single" w:sz="4" w:space="0" w:color="auto"/>
            </w:tcBorders>
          </w:tcPr>
          <w:p w14:paraId="7353302C" w14:textId="3DB63A88" w:rsidR="00AA7574" w:rsidRPr="00102A1D" w:rsidRDefault="00AA7574" w:rsidP="00102A1D">
            <w:pPr>
              <w:pStyle w:val="ListParagraph"/>
              <w:numPr>
                <w:ilvl w:val="0"/>
                <w:numId w:val="12"/>
              </w:numPr>
              <w:ind w:left="306" w:hanging="284"/>
              <w:jc w:val="left"/>
              <w:rPr>
                <w:b w:val="0"/>
                <w:bCs w:val="0"/>
                <w:noProof/>
                <w:sz w:val="24"/>
                <w:szCs w:val="24"/>
              </w:rPr>
            </w:pPr>
            <w:r w:rsidRPr="00102A1D">
              <w:rPr>
                <w:noProof/>
                <w:sz w:val="24"/>
                <w:szCs w:val="24"/>
              </w:rPr>
              <w:lastRenderedPageBreak/>
              <w:t>Tribunal decision</w:t>
            </w:r>
          </w:p>
        </w:tc>
        <w:tc>
          <w:tcPr>
            <w:tcW w:w="1670" w:type="dxa"/>
            <w:tcBorders>
              <w:top w:val="single" w:sz="4" w:space="0" w:color="auto"/>
              <w:left w:val="single" w:sz="4" w:space="0" w:color="auto"/>
              <w:bottom w:val="single" w:sz="4" w:space="0" w:color="auto"/>
              <w:right w:val="nil"/>
            </w:tcBorders>
            <w:vAlign w:val="center"/>
          </w:tcPr>
          <w:p w14:paraId="22FE6B51" w14:textId="77777777" w:rsidR="00AA7574" w:rsidRPr="00102A1D" w:rsidRDefault="00AA7574" w:rsidP="00792332">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Responsibility for representing the local authority in tribunal cases, reses with the Tribunal Officers</w:t>
            </w:r>
          </w:p>
        </w:tc>
        <w:tc>
          <w:tcPr>
            <w:tcW w:w="1671" w:type="dxa"/>
            <w:tcBorders>
              <w:top w:val="single" w:sz="4" w:space="0" w:color="auto"/>
              <w:left w:val="nil"/>
              <w:bottom w:val="single" w:sz="4" w:space="0" w:color="auto"/>
              <w:right w:val="nil"/>
            </w:tcBorders>
            <w:vAlign w:val="center"/>
          </w:tcPr>
          <w:p w14:paraId="1567D9DF" w14:textId="77777777" w:rsidR="00AA7574" w:rsidRPr="00102A1D" w:rsidRDefault="00AA7574" w:rsidP="00792332">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top w:val="single" w:sz="4" w:space="0" w:color="auto"/>
              <w:left w:val="nil"/>
              <w:bottom w:val="single" w:sz="4" w:space="0" w:color="auto"/>
              <w:right w:val="nil"/>
            </w:tcBorders>
            <w:vAlign w:val="center"/>
          </w:tcPr>
          <w:p w14:paraId="4C1DF283" w14:textId="77777777" w:rsidR="00AA7574" w:rsidRPr="00102A1D" w:rsidRDefault="00AA7574" w:rsidP="00792332">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top w:val="single" w:sz="4" w:space="0" w:color="auto"/>
              <w:left w:val="nil"/>
              <w:bottom w:val="single" w:sz="4" w:space="0" w:color="auto"/>
              <w:right w:val="nil"/>
            </w:tcBorders>
            <w:vAlign w:val="center"/>
          </w:tcPr>
          <w:p w14:paraId="33ED75C4" w14:textId="77777777" w:rsidR="00AA7574" w:rsidRPr="00102A1D" w:rsidRDefault="00AA7574" w:rsidP="00792332">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top w:val="single" w:sz="4" w:space="0" w:color="auto"/>
              <w:left w:val="nil"/>
              <w:bottom w:val="single" w:sz="4" w:space="0" w:color="auto"/>
              <w:right w:val="nil"/>
            </w:tcBorders>
            <w:vAlign w:val="center"/>
          </w:tcPr>
          <w:p w14:paraId="37CBA271" w14:textId="77777777" w:rsidR="00AA7574" w:rsidRPr="00102A1D" w:rsidRDefault="00AA7574" w:rsidP="00792332">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top w:val="single" w:sz="4" w:space="0" w:color="auto"/>
              <w:left w:val="nil"/>
              <w:bottom w:val="single" w:sz="4" w:space="0" w:color="auto"/>
              <w:right w:val="nil"/>
            </w:tcBorders>
            <w:vAlign w:val="center"/>
          </w:tcPr>
          <w:p w14:paraId="1A239269" w14:textId="77777777" w:rsidR="00AA7574" w:rsidRPr="00102A1D" w:rsidRDefault="00AA7574" w:rsidP="00792332">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71" w:type="dxa"/>
            <w:tcBorders>
              <w:top w:val="single" w:sz="4" w:space="0" w:color="auto"/>
              <w:left w:val="nil"/>
              <w:bottom w:val="single" w:sz="4" w:space="0" w:color="auto"/>
              <w:right w:val="nil"/>
            </w:tcBorders>
            <w:vAlign w:val="center"/>
          </w:tcPr>
          <w:p w14:paraId="4ED7A654" w14:textId="7F7412B3" w:rsidR="00AA7574" w:rsidRPr="00102A1D" w:rsidRDefault="00AA7574" w:rsidP="00792332">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r>
    </w:tbl>
    <w:p w14:paraId="3BF22147" w14:textId="47DC4050" w:rsidR="00AA57FB" w:rsidRDefault="00EA5A31" w:rsidP="00AA57FB">
      <w:pPr>
        <w:pStyle w:val="Heading1"/>
      </w:pPr>
      <w:r>
        <w:t>Delegation of decision-making responsibilities</w:t>
      </w:r>
    </w:p>
    <w:p w14:paraId="52F36B32" w14:textId="38045985" w:rsidR="00AA57FB" w:rsidRDefault="00EA5A31" w:rsidP="00AA57FB">
      <w:pPr>
        <w:pStyle w:val="Heading2"/>
      </w:pPr>
      <w:r>
        <w:t>In detail</w:t>
      </w:r>
    </w:p>
    <w:tbl>
      <w:tblPr>
        <w:tblStyle w:val="TableGrid"/>
        <w:tblW w:w="0" w:type="auto"/>
        <w:tblLook w:val="04A0" w:firstRow="1" w:lastRow="0" w:firstColumn="1" w:lastColumn="0" w:noHBand="0" w:noVBand="1"/>
      </w:tblPr>
      <w:tblGrid>
        <w:gridCol w:w="2122"/>
        <w:gridCol w:w="1559"/>
        <w:gridCol w:w="5670"/>
        <w:gridCol w:w="3018"/>
        <w:gridCol w:w="3019"/>
      </w:tblGrid>
      <w:tr w:rsidR="00AA756F" w14:paraId="26E9D3E9" w14:textId="77777777" w:rsidTr="00AA7574">
        <w:tc>
          <w:tcPr>
            <w:tcW w:w="2122" w:type="dxa"/>
            <w:shd w:val="clear" w:color="auto" w:fill="D9D9D9" w:themeFill="background1" w:themeFillShade="D9"/>
            <w:vAlign w:val="center"/>
          </w:tcPr>
          <w:p w14:paraId="6B5128CD" w14:textId="60B734FE" w:rsidR="00AA756F" w:rsidRPr="00AA7574" w:rsidRDefault="00AA756F" w:rsidP="00383C28">
            <w:pPr>
              <w:spacing w:after="160"/>
              <w:jc w:val="center"/>
              <w:rPr>
                <w:b/>
                <w:bCs/>
                <w:sz w:val="24"/>
                <w:szCs w:val="24"/>
              </w:rPr>
            </w:pPr>
            <w:r w:rsidRPr="00AA7574">
              <w:rPr>
                <w:b/>
                <w:bCs/>
                <w:sz w:val="24"/>
                <w:szCs w:val="24"/>
              </w:rPr>
              <w:t>Officer (and Panel where decisions taken through a Panel chaired by the Officer)</w:t>
            </w:r>
          </w:p>
        </w:tc>
        <w:tc>
          <w:tcPr>
            <w:tcW w:w="1559" w:type="dxa"/>
            <w:shd w:val="clear" w:color="auto" w:fill="D9D9D9" w:themeFill="background1" w:themeFillShade="D9"/>
            <w:vAlign w:val="center"/>
          </w:tcPr>
          <w:p w14:paraId="23973C42" w14:textId="1D1641A7" w:rsidR="00AA756F" w:rsidRPr="00AA7574" w:rsidRDefault="00AA756F" w:rsidP="00383C28">
            <w:pPr>
              <w:spacing w:after="160"/>
              <w:jc w:val="center"/>
              <w:rPr>
                <w:b/>
                <w:bCs/>
                <w:sz w:val="24"/>
                <w:szCs w:val="24"/>
              </w:rPr>
            </w:pPr>
            <w:r w:rsidRPr="00AA7574">
              <w:rPr>
                <w:b/>
                <w:bCs/>
                <w:sz w:val="24"/>
                <w:szCs w:val="24"/>
              </w:rPr>
              <w:t>Frequency of decision-making</w:t>
            </w:r>
          </w:p>
        </w:tc>
        <w:tc>
          <w:tcPr>
            <w:tcW w:w="5670" w:type="dxa"/>
            <w:shd w:val="clear" w:color="auto" w:fill="D9D9D9" w:themeFill="background1" w:themeFillShade="D9"/>
            <w:vAlign w:val="center"/>
          </w:tcPr>
          <w:p w14:paraId="7BEF6625" w14:textId="5919E66B" w:rsidR="00AA756F" w:rsidRPr="00AA7574" w:rsidRDefault="00AA756F" w:rsidP="00383C28">
            <w:pPr>
              <w:spacing w:after="160"/>
              <w:jc w:val="center"/>
              <w:rPr>
                <w:b/>
                <w:bCs/>
                <w:sz w:val="24"/>
                <w:szCs w:val="24"/>
              </w:rPr>
            </w:pPr>
            <w:r w:rsidRPr="00AA7574">
              <w:rPr>
                <w:b/>
                <w:bCs/>
                <w:sz w:val="24"/>
                <w:szCs w:val="24"/>
              </w:rPr>
              <w:t>Level of decision-making</w:t>
            </w:r>
          </w:p>
        </w:tc>
        <w:tc>
          <w:tcPr>
            <w:tcW w:w="3018" w:type="dxa"/>
            <w:shd w:val="clear" w:color="auto" w:fill="D9D9D9" w:themeFill="background1" w:themeFillShade="D9"/>
            <w:vAlign w:val="center"/>
          </w:tcPr>
          <w:p w14:paraId="1D1CE0F2" w14:textId="77777777" w:rsidR="00AA756F" w:rsidRPr="00AA7574" w:rsidRDefault="00AA756F" w:rsidP="00383C28">
            <w:pPr>
              <w:spacing w:after="160"/>
              <w:jc w:val="center"/>
              <w:rPr>
                <w:sz w:val="24"/>
                <w:szCs w:val="24"/>
              </w:rPr>
            </w:pPr>
            <w:r w:rsidRPr="00AA7574">
              <w:rPr>
                <w:b/>
                <w:bCs/>
                <w:sz w:val="24"/>
                <w:szCs w:val="24"/>
              </w:rPr>
              <w:t>Recording and communication of decisions</w:t>
            </w:r>
          </w:p>
          <w:p w14:paraId="2A2EA629" w14:textId="0E972CF0" w:rsidR="00267175" w:rsidRPr="00AA7574" w:rsidRDefault="00267175" w:rsidP="00383C28">
            <w:pPr>
              <w:spacing w:after="160"/>
              <w:jc w:val="center"/>
              <w:rPr>
                <w:sz w:val="24"/>
                <w:szCs w:val="24"/>
              </w:rPr>
            </w:pPr>
          </w:p>
        </w:tc>
        <w:tc>
          <w:tcPr>
            <w:tcW w:w="3019" w:type="dxa"/>
            <w:shd w:val="clear" w:color="auto" w:fill="D9D9D9" w:themeFill="background1" w:themeFillShade="D9"/>
            <w:vAlign w:val="center"/>
          </w:tcPr>
          <w:p w14:paraId="5AA92B2A" w14:textId="4190C267" w:rsidR="00AA756F" w:rsidRPr="00AA7574" w:rsidRDefault="00AA756F" w:rsidP="00383C28">
            <w:pPr>
              <w:spacing w:after="160"/>
              <w:jc w:val="center"/>
              <w:rPr>
                <w:b/>
                <w:bCs/>
                <w:sz w:val="24"/>
                <w:szCs w:val="24"/>
              </w:rPr>
            </w:pPr>
            <w:r w:rsidRPr="00AA7574">
              <w:rPr>
                <w:b/>
                <w:bCs/>
                <w:sz w:val="24"/>
                <w:szCs w:val="24"/>
              </w:rPr>
              <w:t xml:space="preserve">Escalation, </w:t>
            </w:r>
            <w:proofErr w:type="gramStart"/>
            <w:r w:rsidRPr="00AA7574">
              <w:rPr>
                <w:b/>
                <w:bCs/>
                <w:sz w:val="24"/>
                <w:szCs w:val="24"/>
              </w:rPr>
              <w:t>review</w:t>
            </w:r>
            <w:proofErr w:type="gramEnd"/>
            <w:r w:rsidRPr="00AA7574">
              <w:rPr>
                <w:b/>
                <w:bCs/>
                <w:sz w:val="24"/>
                <w:szCs w:val="24"/>
              </w:rPr>
              <w:t xml:space="preserve"> or QA of decision-making</w:t>
            </w:r>
          </w:p>
        </w:tc>
      </w:tr>
      <w:tr w:rsidR="006E0C0F" w14:paraId="7CA77B10" w14:textId="77777777" w:rsidTr="009D08B1">
        <w:tc>
          <w:tcPr>
            <w:tcW w:w="2122" w:type="dxa"/>
            <w:shd w:val="clear" w:color="auto" w:fill="F2F2F2" w:themeFill="background1" w:themeFillShade="F2"/>
          </w:tcPr>
          <w:p w14:paraId="0B5360FC" w14:textId="39F0335A" w:rsidR="006E0C0F" w:rsidRPr="006466CB" w:rsidRDefault="006E0C0F" w:rsidP="006466CB">
            <w:pPr>
              <w:jc w:val="left"/>
              <w:rPr>
                <w:b/>
                <w:bCs/>
              </w:rPr>
            </w:pPr>
            <w:r>
              <w:rPr>
                <w:b/>
                <w:bCs/>
              </w:rPr>
              <w:t xml:space="preserve">Annual Review </w:t>
            </w:r>
            <w:r w:rsidR="00B1017C">
              <w:rPr>
                <w:b/>
                <w:bCs/>
              </w:rPr>
              <w:br/>
            </w:r>
            <w:r>
              <w:rPr>
                <w:b/>
                <w:bCs/>
              </w:rPr>
              <w:t>Co-Ordinator</w:t>
            </w:r>
          </w:p>
        </w:tc>
        <w:tc>
          <w:tcPr>
            <w:tcW w:w="1559" w:type="dxa"/>
          </w:tcPr>
          <w:p w14:paraId="18BC4F9C" w14:textId="0F40EBE3" w:rsidR="006E0C0F" w:rsidRDefault="00792332" w:rsidP="006466CB">
            <w:pPr>
              <w:jc w:val="left"/>
            </w:pPr>
            <w:r>
              <w:t>Ongoing (to meet statutory timescales)</w:t>
            </w:r>
          </w:p>
        </w:tc>
        <w:tc>
          <w:tcPr>
            <w:tcW w:w="5670" w:type="dxa"/>
          </w:tcPr>
          <w:p w14:paraId="5B048007" w14:textId="77777777" w:rsidR="00792332" w:rsidRPr="00666BDD" w:rsidRDefault="00792332" w:rsidP="00792332">
            <w:pPr>
              <w:spacing w:after="160"/>
              <w:jc w:val="left"/>
              <w:rPr>
                <w:u w:val="single"/>
              </w:rPr>
            </w:pPr>
            <w:r w:rsidRPr="00666BDD">
              <w:rPr>
                <w:u w:val="single"/>
              </w:rPr>
              <w:t>Existing EHCPs</w:t>
            </w:r>
          </w:p>
          <w:p w14:paraId="56B07CB6" w14:textId="77777777" w:rsidR="00792332" w:rsidRDefault="00792332" w:rsidP="00792332">
            <w:pPr>
              <w:spacing w:after="160"/>
              <w:jc w:val="left"/>
            </w:pPr>
            <w:r>
              <w:t xml:space="preserve">To consider annual review reports and updated advice from the education setting, family, </w:t>
            </w:r>
            <w:proofErr w:type="gramStart"/>
            <w:r>
              <w:t>health</w:t>
            </w:r>
            <w:proofErr w:type="gramEnd"/>
            <w:r>
              <w:t xml:space="preserve"> and care professionals.</w:t>
            </w:r>
          </w:p>
          <w:p w14:paraId="4BAD28BC" w14:textId="77777777" w:rsidR="00792332" w:rsidRDefault="00792332" w:rsidP="00792332">
            <w:pPr>
              <w:spacing w:after="160"/>
              <w:jc w:val="left"/>
            </w:pPr>
            <w:r>
              <w:t>Where there is “no change” recommended, to decide whether to agree with that recommendation.</w:t>
            </w:r>
          </w:p>
          <w:p w14:paraId="4D008D3C" w14:textId="77777777" w:rsidR="00792332" w:rsidRDefault="00792332" w:rsidP="00792332">
            <w:pPr>
              <w:spacing w:after="160"/>
              <w:jc w:val="left"/>
            </w:pPr>
            <w:r>
              <w:t>To agree to amendments that would not require any changes in the allocation of resources – for example, updating the EHCP so that it accurately reflects the young person’s assessed needs, required provision, targets and outcomes.</w:t>
            </w:r>
          </w:p>
          <w:p w14:paraId="0B46BFA9" w14:textId="293727F1" w:rsidR="006E0C0F" w:rsidRDefault="00792332" w:rsidP="00792332">
            <w:pPr>
              <w:jc w:val="left"/>
              <w:rPr>
                <w:u w:val="single"/>
              </w:rPr>
            </w:pPr>
            <w:r>
              <w:t xml:space="preserve">Where the recommendation from the setting / school or the judgement of the SEND Operations Co-ordinator themselves </w:t>
            </w:r>
            <w:r>
              <w:lastRenderedPageBreak/>
              <w:t>is that a more significant change to the EHCP is required or the EHCP may need to be ceased, to refer those cases to the chair of the Quadrant Resource Panel (a SEND Operations Lead).</w:t>
            </w:r>
          </w:p>
        </w:tc>
        <w:tc>
          <w:tcPr>
            <w:tcW w:w="3018" w:type="dxa"/>
          </w:tcPr>
          <w:p w14:paraId="7BFCA166" w14:textId="77777777" w:rsidR="00792332" w:rsidRDefault="00792332" w:rsidP="00792332">
            <w:pPr>
              <w:spacing w:after="160"/>
              <w:jc w:val="left"/>
            </w:pPr>
            <w:r>
              <w:lastRenderedPageBreak/>
              <w:t>To maintain up-to-date case notes and records of decisions reached and reasons for decisions.</w:t>
            </w:r>
          </w:p>
          <w:p w14:paraId="25C8D1B9" w14:textId="10DAEE2F" w:rsidR="00792332" w:rsidRDefault="00792332" w:rsidP="00792332">
            <w:pPr>
              <w:spacing w:after="160"/>
              <w:jc w:val="left"/>
            </w:pPr>
            <w:r>
              <w:t>To communicate decisions taken regarding annual reviews to parents / carers, young people, and settings / schools / colleges as appropriate, in writing and in a timely manner.</w:t>
            </w:r>
          </w:p>
          <w:p w14:paraId="34335B69" w14:textId="24226FDD" w:rsidR="006E0C0F" w:rsidRDefault="00792332" w:rsidP="00792332">
            <w:pPr>
              <w:jc w:val="left"/>
            </w:pPr>
            <w:r>
              <w:t xml:space="preserve">To alert senior officers to potential risks of placement </w:t>
            </w:r>
            <w:r>
              <w:lastRenderedPageBreak/>
              <w:t>breakdown, escalation of costs, appeals against decisions.</w:t>
            </w:r>
          </w:p>
        </w:tc>
        <w:tc>
          <w:tcPr>
            <w:tcW w:w="3019" w:type="dxa"/>
          </w:tcPr>
          <w:p w14:paraId="31469AA5" w14:textId="50637009" w:rsidR="006E0C0F" w:rsidRDefault="00792332" w:rsidP="006466CB">
            <w:pPr>
              <w:jc w:val="left"/>
            </w:pPr>
            <w:r>
              <w:lastRenderedPageBreak/>
              <w:t>Requests to review decisions should be escalated to the SEND Operations Partner for supervision and oversight.</w:t>
            </w:r>
          </w:p>
        </w:tc>
      </w:tr>
      <w:tr w:rsidR="00AA756F" w14:paraId="6AFA841F" w14:textId="77777777" w:rsidTr="009D08B1">
        <w:tc>
          <w:tcPr>
            <w:tcW w:w="2122" w:type="dxa"/>
            <w:shd w:val="clear" w:color="auto" w:fill="F2F2F2" w:themeFill="background1" w:themeFillShade="F2"/>
          </w:tcPr>
          <w:p w14:paraId="1A0C813C" w14:textId="18309EF9" w:rsidR="00AA756F" w:rsidRPr="006466CB" w:rsidRDefault="00D76976" w:rsidP="006466CB">
            <w:pPr>
              <w:spacing w:after="160"/>
              <w:jc w:val="left"/>
              <w:rPr>
                <w:b/>
                <w:bCs/>
              </w:rPr>
            </w:pPr>
            <w:r w:rsidRPr="006466CB">
              <w:rPr>
                <w:b/>
                <w:bCs/>
              </w:rPr>
              <w:t xml:space="preserve">SEND Operations </w:t>
            </w:r>
            <w:r w:rsidR="005C61B6" w:rsidRPr="006466CB">
              <w:rPr>
                <w:b/>
                <w:bCs/>
              </w:rPr>
              <w:t>Co-ordinator</w:t>
            </w:r>
          </w:p>
        </w:tc>
        <w:tc>
          <w:tcPr>
            <w:tcW w:w="1559" w:type="dxa"/>
          </w:tcPr>
          <w:p w14:paraId="6CC6977D" w14:textId="3D0B15E7" w:rsidR="00AA756F" w:rsidRDefault="00EA0D97" w:rsidP="006466CB">
            <w:pPr>
              <w:spacing w:after="160"/>
              <w:jc w:val="left"/>
            </w:pPr>
            <w:r>
              <w:t>Ongoing (to meet statutory timescales)</w:t>
            </w:r>
          </w:p>
        </w:tc>
        <w:tc>
          <w:tcPr>
            <w:tcW w:w="5670" w:type="dxa"/>
          </w:tcPr>
          <w:p w14:paraId="49462297" w14:textId="7394F0FD" w:rsidR="00666BDD" w:rsidRPr="00666BDD" w:rsidRDefault="00666BDD" w:rsidP="006466CB">
            <w:pPr>
              <w:spacing w:after="160"/>
              <w:jc w:val="left"/>
              <w:rPr>
                <w:u w:val="single"/>
              </w:rPr>
            </w:pPr>
            <w:r>
              <w:rPr>
                <w:u w:val="single"/>
              </w:rPr>
              <w:t>Requests for statutory assessment</w:t>
            </w:r>
          </w:p>
          <w:p w14:paraId="3CF82A2D" w14:textId="45D9A2C4" w:rsidR="00AA756F" w:rsidRDefault="007340CB" w:rsidP="006466CB">
            <w:pPr>
              <w:spacing w:after="160"/>
              <w:jc w:val="left"/>
            </w:pPr>
            <w:r>
              <w:t>To co-ordinate the EHC needs assessments.</w:t>
            </w:r>
          </w:p>
          <w:p w14:paraId="515291EF" w14:textId="52D5FC11" w:rsidR="00666BDD" w:rsidRPr="00666BDD" w:rsidRDefault="00666BDD" w:rsidP="006466CB">
            <w:pPr>
              <w:spacing w:after="160"/>
              <w:jc w:val="left"/>
              <w:rPr>
                <w:u w:val="single"/>
              </w:rPr>
            </w:pPr>
            <w:r w:rsidRPr="00666BDD">
              <w:rPr>
                <w:u w:val="single"/>
              </w:rPr>
              <w:t>New EHCPs</w:t>
            </w:r>
          </w:p>
          <w:p w14:paraId="098A5B80" w14:textId="33EE201C" w:rsidR="007340CB" w:rsidRDefault="007340CB" w:rsidP="006466CB">
            <w:pPr>
              <w:spacing w:after="160"/>
              <w:jc w:val="left"/>
            </w:pPr>
            <w:r>
              <w:t>To prepare Needs Assessment Reports.</w:t>
            </w:r>
          </w:p>
          <w:p w14:paraId="413F050A" w14:textId="77777777" w:rsidR="007340CB" w:rsidRDefault="007340CB" w:rsidP="006466CB">
            <w:pPr>
              <w:spacing w:after="160"/>
              <w:jc w:val="left"/>
            </w:pPr>
            <w:r>
              <w:t>To prepare draft EHCPs.</w:t>
            </w:r>
          </w:p>
          <w:p w14:paraId="426AEE88" w14:textId="12A8E7EC" w:rsidR="00666BDD" w:rsidRPr="00666BDD" w:rsidRDefault="00666BDD" w:rsidP="006466CB">
            <w:pPr>
              <w:spacing w:after="160"/>
              <w:jc w:val="left"/>
              <w:rPr>
                <w:u w:val="single"/>
              </w:rPr>
            </w:pPr>
            <w:r w:rsidRPr="00666BDD">
              <w:rPr>
                <w:u w:val="single"/>
              </w:rPr>
              <w:t>Existing EHCPs</w:t>
            </w:r>
            <w:r w:rsidR="00792332">
              <w:rPr>
                <w:u w:val="single"/>
              </w:rPr>
              <w:t xml:space="preserve"> – First Annual Review</w:t>
            </w:r>
          </w:p>
          <w:p w14:paraId="1F0D9048" w14:textId="2ED809E5" w:rsidR="00C115D5" w:rsidRDefault="00666BDD" w:rsidP="006466CB">
            <w:pPr>
              <w:spacing w:after="160"/>
              <w:jc w:val="left"/>
            </w:pPr>
            <w:r>
              <w:t xml:space="preserve">To consider </w:t>
            </w:r>
            <w:r w:rsidR="00852B8D">
              <w:t xml:space="preserve">annual review reports </w:t>
            </w:r>
            <w:r w:rsidR="00A541FE">
              <w:t xml:space="preserve">and updated advice from the education setting, family, </w:t>
            </w:r>
            <w:proofErr w:type="gramStart"/>
            <w:r w:rsidR="00A541FE">
              <w:t>health</w:t>
            </w:r>
            <w:proofErr w:type="gramEnd"/>
            <w:r w:rsidR="00A541FE">
              <w:t xml:space="preserve"> and care professionals.</w:t>
            </w:r>
          </w:p>
          <w:p w14:paraId="6A6E150F" w14:textId="77777777" w:rsidR="007D22D5" w:rsidRDefault="007D22D5" w:rsidP="006466CB">
            <w:pPr>
              <w:spacing w:after="160"/>
              <w:jc w:val="left"/>
            </w:pPr>
            <w:r>
              <w:t xml:space="preserve">Where there is </w:t>
            </w:r>
            <w:r w:rsidR="008F0C95">
              <w:t>“no change” recommended</w:t>
            </w:r>
            <w:r>
              <w:t>,</w:t>
            </w:r>
            <w:r w:rsidR="0044015F">
              <w:t xml:space="preserve"> to decide whether to </w:t>
            </w:r>
            <w:r w:rsidR="00DD2357">
              <w:t>agree with that recommendation.</w:t>
            </w:r>
          </w:p>
          <w:p w14:paraId="2F225015" w14:textId="1E652F22" w:rsidR="007D22D5" w:rsidRDefault="007D22D5" w:rsidP="006466CB">
            <w:pPr>
              <w:spacing w:after="160"/>
              <w:jc w:val="left"/>
            </w:pPr>
            <w:r>
              <w:t xml:space="preserve">To agree to amendments that would not require any changes in the allocation of resources </w:t>
            </w:r>
            <w:r w:rsidR="00506596">
              <w:t>–</w:t>
            </w:r>
            <w:r>
              <w:t xml:space="preserve"> </w:t>
            </w:r>
            <w:r w:rsidR="00506596">
              <w:t>for example, updating the EHCP so that it accurately reflects the young person’s assessed needs, required provision, targets and outcomes.</w:t>
            </w:r>
          </w:p>
          <w:p w14:paraId="19AE7532" w14:textId="0D77E5BB" w:rsidR="00666BDD" w:rsidRDefault="000609DF" w:rsidP="006466CB">
            <w:pPr>
              <w:spacing w:after="160"/>
              <w:jc w:val="left"/>
            </w:pPr>
            <w:r>
              <w:t>W</w:t>
            </w:r>
            <w:r w:rsidR="00DD2357">
              <w:t xml:space="preserve">here the recommendation from the setting / school or the judgement of the SEND Operations Co-ordinator themselves is that </w:t>
            </w:r>
            <w:r w:rsidR="008370A9">
              <w:t>a</w:t>
            </w:r>
            <w:r>
              <w:t xml:space="preserve"> more significant</w:t>
            </w:r>
            <w:r w:rsidR="008370A9">
              <w:t xml:space="preserve"> </w:t>
            </w:r>
            <w:r w:rsidR="00DD2357">
              <w:t xml:space="preserve">change </w:t>
            </w:r>
            <w:r w:rsidR="008370A9">
              <w:t xml:space="preserve">to the EHCP is required or </w:t>
            </w:r>
            <w:r w:rsidR="00133FE3">
              <w:t xml:space="preserve">the </w:t>
            </w:r>
            <w:r w:rsidR="008370A9">
              <w:t>EHCP</w:t>
            </w:r>
            <w:r w:rsidR="00133FE3">
              <w:t xml:space="preserve"> may need to be ceased</w:t>
            </w:r>
            <w:r w:rsidR="008370A9">
              <w:t xml:space="preserve">, to refer those </w:t>
            </w:r>
            <w:r w:rsidR="00976F08">
              <w:t>cases to the chair of the Quadrant Resource Panel (a SEND Operations Lead).</w:t>
            </w:r>
          </w:p>
        </w:tc>
        <w:tc>
          <w:tcPr>
            <w:tcW w:w="3018" w:type="dxa"/>
          </w:tcPr>
          <w:p w14:paraId="002A38AD" w14:textId="3F869C72" w:rsidR="00AA2A49" w:rsidRDefault="00AA2A49" w:rsidP="006466CB">
            <w:pPr>
              <w:spacing w:after="160"/>
              <w:jc w:val="left"/>
            </w:pPr>
            <w:r>
              <w:t>To maintain up-to-date case notes and records of decisions reach</w:t>
            </w:r>
            <w:r w:rsidR="0045645A">
              <w:t>ed</w:t>
            </w:r>
            <w:r>
              <w:t xml:space="preserve"> and reasons for decisions.</w:t>
            </w:r>
          </w:p>
          <w:p w14:paraId="071136C3" w14:textId="48C0581D" w:rsidR="00AA756F" w:rsidRDefault="00AA2A49" w:rsidP="006466CB">
            <w:pPr>
              <w:spacing w:after="160"/>
              <w:jc w:val="left"/>
            </w:pPr>
            <w:r>
              <w:t xml:space="preserve">To communicate </w:t>
            </w:r>
            <w:r w:rsidR="00E523DC">
              <w:t>decisions taken regarding requests for assessments, issuing new EHCPs, and annual reviews to parents / carers, young people, and settings / schools / colleges as appropriate</w:t>
            </w:r>
            <w:r w:rsidR="008F0C95">
              <w:t>, in writing and in a timely manner.</w:t>
            </w:r>
          </w:p>
          <w:p w14:paraId="54D2D076" w14:textId="18F52EDC" w:rsidR="00AA2A49" w:rsidRDefault="00AA2A49" w:rsidP="006466CB">
            <w:pPr>
              <w:spacing w:after="160"/>
              <w:jc w:val="left"/>
            </w:pPr>
            <w:r>
              <w:t>To alert senior officers to potential risks of placement breakdown, escalation of costs, appeals against decisions.</w:t>
            </w:r>
          </w:p>
        </w:tc>
        <w:tc>
          <w:tcPr>
            <w:tcW w:w="3019" w:type="dxa"/>
          </w:tcPr>
          <w:p w14:paraId="36941BC7" w14:textId="3D9F0F50" w:rsidR="00AA756F" w:rsidRDefault="00E949C6" w:rsidP="006466CB">
            <w:pPr>
              <w:spacing w:after="160"/>
              <w:jc w:val="left"/>
            </w:pPr>
            <w:r>
              <w:t>Requests to review decisions should be escalated to the SEND Operations Partner for supervision and oversight.</w:t>
            </w:r>
          </w:p>
        </w:tc>
      </w:tr>
      <w:tr w:rsidR="00AA756F" w14:paraId="4E87439F" w14:textId="77777777" w:rsidTr="009D08B1">
        <w:tc>
          <w:tcPr>
            <w:tcW w:w="2122" w:type="dxa"/>
            <w:shd w:val="clear" w:color="auto" w:fill="F2F2F2" w:themeFill="background1" w:themeFillShade="F2"/>
          </w:tcPr>
          <w:p w14:paraId="27AB8982" w14:textId="1F5AF8ED" w:rsidR="005C61B6" w:rsidRPr="006466CB" w:rsidRDefault="005C61B6" w:rsidP="006466CB">
            <w:pPr>
              <w:spacing w:after="160"/>
              <w:jc w:val="left"/>
              <w:rPr>
                <w:b/>
                <w:bCs/>
              </w:rPr>
            </w:pPr>
            <w:r w:rsidRPr="006466CB">
              <w:rPr>
                <w:b/>
                <w:bCs/>
              </w:rPr>
              <w:t>SEND Operations Partner</w:t>
            </w:r>
          </w:p>
        </w:tc>
        <w:tc>
          <w:tcPr>
            <w:tcW w:w="1559" w:type="dxa"/>
          </w:tcPr>
          <w:p w14:paraId="7AC6F798" w14:textId="7929FB01" w:rsidR="00177962" w:rsidRDefault="008235DA" w:rsidP="006466CB">
            <w:pPr>
              <w:spacing w:after="160"/>
              <w:jc w:val="left"/>
            </w:pPr>
            <w:r>
              <w:t>A</w:t>
            </w:r>
            <w:r w:rsidR="00177962">
              <w:t>s required</w:t>
            </w:r>
          </w:p>
        </w:tc>
        <w:tc>
          <w:tcPr>
            <w:tcW w:w="5670" w:type="dxa"/>
          </w:tcPr>
          <w:p w14:paraId="200CA04E" w14:textId="77777777" w:rsidR="00A33D14" w:rsidRPr="00A33D14" w:rsidRDefault="00A33D14" w:rsidP="006466CB">
            <w:pPr>
              <w:spacing w:after="160"/>
              <w:jc w:val="left"/>
              <w:rPr>
                <w:u w:val="single"/>
              </w:rPr>
            </w:pPr>
            <w:r w:rsidRPr="00A33D14">
              <w:rPr>
                <w:u w:val="single"/>
              </w:rPr>
              <w:t>Existing EHCPs</w:t>
            </w:r>
          </w:p>
          <w:p w14:paraId="4C7A3B98" w14:textId="02E28191" w:rsidR="00A33D14" w:rsidRDefault="00F36DC3" w:rsidP="006466CB">
            <w:pPr>
              <w:spacing w:after="160"/>
              <w:jc w:val="left"/>
            </w:pPr>
            <w:r>
              <w:t xml:space="preserve">To consider requests for changes to EHCPs through the annual review process where the changes requested </w:t>
            </w:r>
            <w:r w:rsidR="00D942B7">
              <w:t xml:space="preserve">are (a) </w:t>
            </w:r>
            <w:r w:rsidR="00D942B7">
              <w:lastRenderedPageBreak/>
              <w:t>of one band (increase or decrease), and/or (b) of a change of placement within the same type of placement (e.g., a change from one mainstream school to another).</w:t>
            </w:r>
            <w:r w:rsidR="00604623">
              <w:t xml:space="preserve"> </w:t>
            </w:r>
          </w:p>
          <w:p w14:paraId="3E158B57" w14:textId="0BAF6558" w:rsidR="000F1FF3" w:rsidRPr="00E87858" w:rsidRDefault="000F1FF3" w:rsidP="006466CB">
            <w:pPr>
              <w:spacing w:after="160"/>
              <w:jc w:val="left"/>
            </w:pPr>
            <w:r>
              <w:t>To consider the content of EHCPs of young people who have moved from another local area, which previously maintained the EHCP, and to agree to the provision if there is a</w:t>
            </w:r>
            <w:r w:rsidR="00AB511F">
              <w:t xml:space="preserve"> straightforward or direct equivalent in Essex. (In instances where there is not a straightforward or direct equivalent in Essex, these cases should be referred to the SEND Operations Lead and considered through the Quadrant Resourcing Panel</w:t>
            </w:r>
            <w:r w:rsidR="006F21E7">
              <w:t>.</w:t>
            </w:r>
            <w:r w:rsidR="00AB511F">
              <w:t>)</w:t>
            </w:r>
          </w:p>
        </w:tc>
        <w:tc>
          <w:tcPr>
            <w:tcW w:w="3018" w:type="dxa"/>
          </w:tcPr>
          <w:p w14:paraId="5B8F4BAA" w14:textId="27B46659" w:rsidR="0045645A" w:rsidRDefault="0045645A" w:rsidP="006466CB">
            <w:pPr>
              <w:spacing w:after="160"/>
              <w:jc w:val="left"/>
            </w:pPr>
            <w:r>
              <w:lastRenderedPageBreak/>
              <w:t>To ensure that records of decisions reached and reasons for decisions are recorded</w:t>
            </w:r>
            <w:r w:rsidR="00A33D14">
              <w:t xml:space="preserve"> </w:t>
            </w:r>
            <w:r w:rsidR="00F36DC3">
              <w:lastRenderedPageBreak/>
              <w:t>accurately, appropriately and in a timely manner.</w:t>
            </w:r>
          </w:p>
        </w:tc>
        <w:tc>
          <w:tcPr>
            <w:tcW w:w="3019" w:type="dxa"/>
          </w:tcPr>
          <w:p w14:paraId="2356A867" w14:textId="12EC8E20" w:rsidR="00AA756F" w:rsidRDefault="002273B7" w:rsidP="006466CB">
            <w:pPr>
              <w:spacing w:after="160"/>
              <w:jc w:val="left"/>
            </w:pPr>
            <w:r>
              <w:lastRenderedPageBreak/>
              <w:t xml:space="preserve">Requests to review decisions should be escalated to the </w:t>
            </w:r>
            <w:r>
              <w:lastRenderedPageBreak/>
              <w:t>SEND Operations Lead for supervision and oversight.</w:t>
            </w:r>
          </w:p>
        </w:tc>
      </w:tr>
      <w:tr w:rsidR="00AA756F" w14:paraId="1798FB95" w14:textId="77777777" w:rsidTr="009D08B1">
        <w:tc>
          <w:tcPr>
            <w:tcW w:w="2122" w:type="dxa"/>
            <w:shd w:val="clear" w:color="auto" w:fill="F2F2F2" w:themeFill="background1" w:themeFillShade="F2"/>
          </w:tcPr>
          <w:p w14:paraId="3639FA30" w14:textId="5AC35BF1" w:rsidR="00AA756F" w:rsidRPr="006466CB" w:rsidRDefault="005C61B6" w:rsidP="006466CB">
            <w:pPr>
              <w:spacing w:after="160"/>
              <w:jc w:val="left"/>
              <w:rPr>
                <w:b/>
                <w:bCs/>
              </w:rPr>
            </w:pPr>
            <w:r w:rsidRPr="006466CB">
              <w:rPr>
                <w:b/>
                <w:bCs/>
              </w:rPr>
              <w:t>SEND Operations Lead</w:t>
            </w:r>
            <w:r w:rsidR="006E0C0F">
              <w:rPr>
                <w:b/>
                <w:bCs/>
              </w:rPr>
              <w:t>/ Deputy</w:t>
            </w:r>
          </w:p>
        </w:tc>
        <w:tc>
          <w:tcPr>
            <w:tcW w:w="1559" w:type="dxa"/>
          </w:tcPr>
          <w:p w14:paraId="16E4D475" w14:textId="77777777" w:rsidR="00AA756F" w:rsidRDefault="00177962" w:rsidP="006466CB">
            <w:pPr>
              <w:spacing w:after="160"/>
              <w:jc w:val="left"/>
            </w:pPr>
            <w:r>
              <w:t>Weekly (Panel meetings)</w:t>
            </w:r>
          </w:p>
          <w:p w14:paraId="693FCB97" w14:textId="78396C76" w:rsidR="00177962" w:rsidRDefault="00177962" w:rsidP="006466CB">
            <w:pPr>
              <w:spacing w:after="160"/>
              <w:jc w:val="left"/>
            </w:pPr>
            <w:r>
              <w:t>Other decisions as required</w:t>
            </w:r>
          </w:p>
        </w:tc>
        <w:tc>
          <w:tcPr>
            <w:tcW w:w="5670" w:type="dxa"/>
          </w:tcPr>
          <w:p w14:paraId="2910D118" w14:textId="77777777" w:rsidR="00AA756F" w:rsidRPr="00176829" w:rsidRDefault="00EC331C" w:rsidP="006466CB">
            <w:pPr>
              <w:spacing w:after="160"/>
              <w:jc w:val="left"/>
              <w:rPr>
                <w:u w:val="single"/>
              </w:rPr>
            </w:pPr>
            <w:r w:rsidRPr="00176829">
              <w:rPr>
                <w:u w:val="single"/>
              </w:rPr>
              <w:t>Requests for stat</w:t>
            </w:r>
            <w:r w:rsidR="00176829" w:rsidRPr="00176829">
              <w:rPr>
                <w:u w:val="single"/>
              </w:rPr>
              <w:t>utory assessments</w:t>
            </w:r>
          </w:p>
          <w:p w14:paraId="3327A9AC" w14:textId="77777777" w:rsidR="00383C28" w:rsidRDefault="00383C28" w:rsidP="00383C28">
            <w:pPr>
              <w:spacing w:after="160"/>
              <w:jc w:val="left"/>
            </w:pPr>
            <w:r>
              <w:t>To review any decisions taken or being considered by the SEND Operations Co-ordinators that have been raised through the escalation process.</w:t>
            </w:r>
          </w:p>
          <w:p w14:paraId="13A50387" w14:textId="16F3D293" w:rsidR="00383C28" w:rsidRDefault="00383C28" w:rsidP="00383C28">
            <w:pPr>
              <w:spacing w:after="160"/>
              <w:jc w:val="left"/>
            </w:pPr>
            <w:r>
              <w:t>As chair of a Quadrant Initiation Panel, to agree to or refuse requests for EHC needs assessments or re-assessments, in line with the Code of Practice and the Essex EHCNA Guidance document.</w:t>
            </w:r>
          </w:p>
          <w:p w14:paraId="22E202EF" w14:textId="00AE4658" w:rsidR="00383C28" w:rsidRDefault="00383C28" w:rsidP="00383C28">
            <w:pPr>
              <w:spacing w:after="160"/>
              <w:jc w:val="left"/>
            </w:pPr>
            <w:r>
              <w:t xml:space="preserve">Although the panel is quadrant the list of requests for EHC needs </w:t>
            </w:r>
          </w:p>
          <w:p w14:paraId="0667F048" w14:textId="77777777" w:rsidR="00176829" w:rsidRPr="00737726" w:rsidRDefault="00737726" w:rsidP="006466CB">
            <w:pPr>
              <w:spacing w:after="160"/>
              <w:jc w:val="left"/>
              <w:rPr>
                <w:u w:val="single"/>
              </w:rPr>
            </w:pPr>
            <w:r w:rsidRPr="00737726">
              <w:rPr>
                <w:u w:val="single"/>
              </w:rPr>
              <w:t>New EHCPs</w:t>
            </w:r>
          </w:p>
          <w:p w14:paraId="45CA11B6" w14:textId="14D7A951" w:rsidR="00737726" w:rsidRDefault="008F4BE8" w:rsidP="006466CB">
            <w:pPr>
              <w:spacing w:after="160"/>
              <w:jc w:val="left"/>
            </w:pPr>
            <w:r>
              <w:t>As chair of the Quadrant Resourcing Panel, to consider (a)</w:t>
            </w:r>
            <w:r w:rsidR="00FD4425">
              <w:t xml:space="preserve"> </w:t>
            </w:r>
            <w:proofErr w:type="gramStart"/>
            <w:r w:rsidR="00FD4425">
              <w:t>whether or not</w:t>
            </w:r>
            <w:proofErr w:type="gramEnd"/>
            <w:r w:rsidR="00FD4425">
              <w:t xml:space="preserve"> to issue an EHCP, and (b) </w:t>
            </w:r>
            <w:r>
              <w:t>the content and resourcing (top-up banding) of proposed new EHCPs</w:t>
            </w:r>
            <w:r w:rsidR="00AA5090">
              <w:t>.</w:t>
            </w:r>
          </w:p>
          <w:p w14:paraId="1D188FAA" w14:textId="59F5B469" w:rsidR="00FD09AD" w:rsidRDefault="00FD09AD" w:rsidP="006466CB">
            <w:pPr>
              <w:spacing w:after="160"/>
              <w:jc w:val="left"/>
            </w:pPr>
            <w:r>
              <w:t xml:space="preserve">Requests for bands 5+ (mainstream) or 8+ (special), or for placements in independent provision must be referred to the Head of SEND Strategy &amp; </w:t>
            </w:r>
            <w:proofErr w:type="gramStart"/>
            <w:r>
              <w:t>Innovation, and</w:t>
            </w:r>
            <w:proofErr w:type="gramEnd"/>
            <w:r>
              <w:t xml:space="preserve"> considered through the Complex Case Forum.</w:t>
            </w:r>
          </w:p>
          <w:p w14:paraId="4138F70C" w14:textId="3DC470E9" w:rsidR="00A541FE" w:rsidRDefault="00A541FE" w:rsidP="006466CB">
            <w:pPr>
              <w:spacing w:after="160"/>
              <w:jc w:val="left"/>
            </w:pPr>
            <w:r>
              <w:lastRenderedPageBreak/>
              <w:t xml:space="preserve">To attend joint-agency panels on a rota, alongside Head of SEND Strategy, to contribute to consideration of joint provision and funding for placements for children with EHCPs requiring input from education, </w:t>
            </w:r>
            <w:proofErr w:type="gramStart"/>
            <w:r>
              <w:t>health</w:t>
            </w:r>
            <w:proofErr w:type="gramEnd"/>
            <w:r>
              <w:t xml:space="preserve"> and care.</w:t>
            </w:r>
          </w:p>
          <w:p w14:paraId="33252522" w14:textId="21FD4B58" w:rsidR="00737726" w:rsidRPr="00737726" w:rsidRDefault="00737726" w:rsidP="006466CB">
            <w:pPr>
              <w:spacing w:after="160"/>
              <w:jc w:val="left"/>
              <w:rPr>
                <w:u w:val="single"/>
              </w:rPr>
            </w:pPr>
            <w:r w:rsidRPr="00737726">
              <w:rPr>
                <w:u w:val="single"/>
              </w:rPr>
              <w:t>Requests for non-EHC top-up funding</w:t>
            </w:r>
          </w:p>
          <w:p w14:paraId="27A0D210" w14:textId="77777777" w:rsidR="0059466B" w:rsidRDefault="00737726" w:rsidP="006466CB">
            <w:pPr>
              <w:spacing w:after="160"/>
              <w:jc w:val="left"/>
            </w:pPr>
            <w:r>
              <w:t xml:space="preserve">As chair of the Quadrant Resourcing Panel, to consider </w:t>
            </w:r>
            <w:r w:rsidR="00E72A9F">
              <w:t xml:space="preserve">and decide </w:t>
            </w:r>
            <w:proofErr w:type="gramStart"/>
            <w:r w:rsidR="00E72A9F">
              <w:t>whether or not</w:t>
            </w:r>
            <w:proofErr w:type="gramEnd"/>
            <w:r w:rsidR="00E72A9F">
              <w:t xml:space="preserve"> to agree to requests for top-ups to support (a) medical needs (in consultation with the Designated Clinical Officer from the relevant Clinical Commissioning Group), or (b) </w:t>
            </w:r>
            <w:r w:rsidR="00742EF6">
              <w:t>with transition between phases of education.</w:t>
            </w:r>
          </w:p>
          <w:p w14:paraId="0D402405" w14:textId="31CF83F1" w:rsidR="00737726" w:rsidRDefault="0059466B" w:rsidP="006466CB">
            <w:pPr>
              <w:spacing w:after="160"/>
              <w:jc w:val="left"/>
            </w:pPr>
            <w:r>
              <w:t>To review existing</w:t>
            </w:r>
            <w:r w:rsidR="00625487">
              <w:t xml:space="preserve"> non-EHC top-up funding for medical needs or to support transition.</w:t>
            </w:r>
          </w:p>
          <w:p w14:paraId="4682AE37" w14:textId="77777777" w:rsidR="00737726" w:rsidRPr="00737726" w:rsidRDefault="00737726" w:rsidP="006466CB">
            <w:pPr>
              <w:spacing w:after="160"/>
              <w:jc w:val="left"/>
              <w:rPr>
                <w:u w:val="single"/>
              </w:rPr>
            </w:pPr>
            <w:r w:rsidRPr="00737726">
              <w:rPr>
                <w:u w:val="single"/>
              </w:rPr>
              <w:t>Existing EHCPs</w:t>
            </w:r>
          </w:p>
          <w:p w14:paraId="0D6DC563" w14:textId="24395A4F" w:rsidR="00742EF6" w:rsidRDefault="00742EF6" w:rsidP="00742EF6">
            <w:pPr>
              <w:spacing w:after="160"/>
              <w:jc w:val="left"/>
            </w:pPr>
            <w:r>
              <w:t xml:space="preserve">To consider requests for changes to EHCPs through the annual review process where the changes requested are (a) of </w:t>
            </w:r>
            <w:r w:rsidR="00362FA3">
              <w:t>two</w:t>
            </w:r>
            <w:r w:rsidR="00D63A60">
              <w:t xml:space="preserve"> or more </w:t>
            </w:r>
            <w:r>
              <w:t>band</w:t>
            </w:r>
            <w:r w:rsidR="00495764">
              <w:t>s</w:t>
            </w:r>
            <w:r>
              <w:t xml:space="preserve"> (increase or decrease), and/or (b) of a change of placement type (e.g., a change from </w:t>
            </w:r>
            <w:r w:rsidR="00495764">
              <w:t xml:space="preserve">a </w:t>
            </w:r>
            <w:r>
              <w:t xml:space="preserve">mainstream school to </w:t>
            </w:r>
            <w:r w:rsidR="00495764">
              <w:t>a special school</w:t>
            </w:r>
            <w:r>
              <w:t>).</w:t>
            </w:r>
            <w:r w:rsidR="00495764">
              <w:t xml:space="preserve"> Requests for bands 5+ (mainstream)</w:t>
            </w:r>
            <w:r w:rsidR="00FD09AD">
              <w:t xml:space="preserve"> or</w:t>
            </w:r>
            <w:r w:rsidR="00495764">
              <w:t xml:space="preserve"> 8+ (special)</w:t>
            </w:r>
            <w:r w:rsidR="00FD09AD">
              <w:t xml:space="preserve">, or for placements in independent provision must be referred to the Head of SEND Strategy &amp; </w:t>
            </w:r>
            <w:proofErr w:type="gramStart"/>
            <w:r w:rsidR="00FD09AD">
              <w:t>Innovation, and</w:t>
            </w:r>
            <w:proofErr w:type="gramEnd"/>
            <w:r w:rsidR="00FD09AD">
              <w:t xml:space="preserve"> considered through the Complex Case Forum.</w:t>
            </w:r>
          </w:p>
          <w:p w14:paraId="4F725CFC" w14:textId="6BDCA15D" w:rsidR="00737726" w:rsidRDefault="00742EF6" w:rsidP="00742EF6">
            <w:pPr>
              <w:spacing w:after="160"/>
              <w:jc w:val="left"/>
            </w:pPr>
            <w:r>
              <w:t xml:space="preserve">To consider the content of EHCPs of young people who have moved from another local area, which previously maintained the EHCP, and to agree to the </w:t>
            </w:r>
            <w:r w:rsidR="00FD09AD">
              <w:t xml:space="preserve">most appropriate </w:t>
            </w:r>
            <w:r>
              <w:t>provision</w:t>
            </w:r>
            <w:r w:rsidR="00FD09AD">
              <w:t>, or further assessment,</w:t>
            </w:r>
            <w:r>
              <w:t xml:space="preserve"> if there is </w:t>
            </w:r>
            <w:r w:rsidR="00FD09AD">
              <w:t xml:space="preserve">not </w:t>
            </w:r>
            <w:r>
              <w:t>a straightforward or direct equivalent in Essex.</w:t>
            </w:r>
          </w:p>
        </w:tc>
        <w:tc>
          <w:tcPr>
            <w:tcW w:w="3018" w:type="dxa"/>
          </w:tcPr>
          <w:p w14:paraId="2AE552D4" w14:textId="77777777" w:rsidR="00AA756F" w:rsidRDefault="00267175" w:rsidP="006466CB">
            <w:pPr>
              <w:spacing w:after="160"/>
              <w:jc w:val="left"/>
            </w:pPr>
            <w:r>
              <w:lastRenderedPageBreak/>
              <w:t>To ensure that records of decisions reached and reasons for decisions are recorded accurately, appropriately and in a timely manner.</w:t>
            </w:r>
          </w:p>
          <w:p w14:paraId="7166166C" w14:textId="13BB0B2C" w:rsidR="00267175" w:rsidRDefault="00267175" w:rsidP="006466CB">
            <w:pPr>
              <w:spacing w:after="160"/>
              <w:jc w:val="left"/>
            </w:pPr>
            <w:r>
              <w:t>To alert senior officers to potential risks of placement breakdown, escalation of costs, appeals against decisions.</w:t>
            </w:r>
          </w:p>
        </w:tc>
        <w:tc>
          <w:tcPr>
            <w:tcW w:w="3019" w:type="dxa"/>
          </w:tcPr>
          <w:p w14:paraId="74771622" w14:textId="3BCD05B7" w:rsidR="00AA756F" w:rsidRDefault="009D08B1" w:rsidP="006466CB">
            <w:pPr>
              <w:spacing w:after="160"/>
              <w:jc w:val="left"/>
            </w:pPr>
            <w:r>
              <w:t>Requests to review decisions should be escalated to the Quadrant Manager or the Head of SEND Strategy &amp; Operations for supervision and oversight.</w:t>
            </w:r>
          </w:p>
        </w:tc>
      </w:tr>
      <w:tr w:rsidR="00AA756F" w14:paraId="7DB3F557" w14:textId="77777777" w:rsidTr="009D08B1">
        <w:tc>
          <w:tcPr>
            <w:tcW w:w="2122" w:type="dxa"/>
            <w:shd w:val="clear" w:color="auto" w:fill="F2F2F2" w:themeFill="background1" w:themeFillShade="F2"/>
          </w:tcPr>
          <w:p w14:paraId="554D9D60" w14:textId="0CA07899" w:rsidR="006E0C0F" w:rsidRDefault="006E0C0F" w:rsidP="006466CB">
            <w:pPr>
              <w:spacing w:after="160"/>
              <w:jc w:val="left"/>
              <w:rPr>
                <w:b/>
                <w:bCs/>
              </w:rPr>
            </w:pPr>
            <w:r>
              <w:rPr>
                <w:b/>
                <w:bCs/>
              </w:rPr>
              <w:t xml:space="preserve">SEND strategy Lead Compliance </w:t>
            </w:r>
          </w:p>
          <w:p w14:paraId="797E6CE3" w14:textId="33E43838" w:rsidR="00AA756F" w:rsidRPr="006466CB" w:rsidRDefault="006466CB" w:rsidP="006466CB">
            <w:pPr>
              <w:spacing w:after="160"/>
              <w:jc w:val="left"/>
              <w:rPr>
                <w:b/>
                <w:bCs/>
              </w:rPr>
            </w:pPr>
            <w:r w:rsidRPr="006466CB">
              <w:rPr>
                <w:b/>
                <w:bCs/>
              </w:rPr>
              <w:lastRenderedPageBreak/>
              <w:t>(Complex Case Forum)</w:t>
            </w:r>
          </w:p>
        </w:tc>
        <w:tc>
          <w:tcPr>
            <w:tcW w:w="1559" w:type="dxa"/>
          </w:tcPr>
          <w:p w14:paraId="02244983" w14:textId="25585429" w:rsidR="00AA756F" w:rsidRDefault="008235DA" w:rsidP="006466CB">
            <w:pPr>
              <w:spacing w:after="160"/>
              <w:jc w:val="left"/>
            </w:pPr>
            <w:r>
              <w:lastRenderedPageBreak/>
              <w:t>Monthly (panel)</w:t>
            </w:r>
          </w:p>
        </w:tc>
        <w:tc>
          <w:tcPr>
            <w:tcW w:w="5670" w:type="dxa"/>
          </w:tcPr>
          <w:p w14:paraId="6CDDB511" w14:textId="6D0D7A8A" w:rsidR="00AA756F" w:rsidRPr="0067229E" w:rsidRDefault="0067229E" w:rsidP="006466CB">
            <w:pPr>
              <w:spacing w:after="160"/>
              <w:jc w:val="left"/>
              <w:rPr>
                <w:u w:val="single"/>
              </w:rPr>
            </w:pPr>
            <w:r w:rsidRPr="0067229E">
              <w:rPr>
                <w:u w:val="single"/>
              </w:rPr>
              <w:t>New and existing EHCPs</w:t>
            </w:r>
          </w:p>
          <w:p w14:paraId="58C5CD5D" w14:textId="624BFC3A" w:rsidR="0067229E" w:rsidRDefault="003E7594" w:rsidP="006466CB">
            <w:pPr>
              <w:spacing w:after="160"/>
              <w:jc w:val="left"/>
            </w:pPr>
            <w:r>
              <w:lastRenderedPageBreak/>
              <w:t>As chair of the Complex Case Forum, to consider r</w:t>
            </w:r>
            <w:r w:rsidR="0067229E">
              <w:t>equests for bands 5+ (mainstream) or 8+ (special), or for placements in independent provision.</w:t>
            </w:r>
          </w:p>
          <w:p w14:paraId="4524E29B" w14:textId="05A7593E" w:rsidR="00196791" w:rsidRDefault="00196791" w:rsidP="006466CB">
            <w:pPr>
              <w:spacing w:after="160"/>
              <w:jc w:val="left"/>
            </w:pPr>
            <w:r>
              <w:t>To act as the representative of SEND at joint-agency panels</w:t>
            </w:r>
            <w:r w:rsidR="0067229E">
              <w:t xml:space="preserve"> considering joint provision and funding </w:t>
            </w:r>
            <w:r w:rsidR="003E7594">
              <w:t xml:space="preserve">for placements for children with EHCPs requiring input from education, </w:t>
            </w:r>
            <w:proofErr w:type="gramStart"/>
            <w:r w:rsidR="003E7594">
              <w:t>health</w:t>
            </w:r>
            <w:proofErr w:type="gramEnd"/>
            <w:r w:rsidR="003E7594">
              <w:t xml:space="preserve"> and care</w:t>
            </w:r>
            <w:r>
              <w:t>.</w:t>
            </w:r>
          </w:p>
        </w:tc>
        <w:tc>
          <w:tcPr>
            <w:tcW w:w="3018" w:type="dxa"/>
          </w:tcPr>
          <w:p w14:paraId="4BA1B68F" w14:textId="77777777" w:rsidR="00267175" w:rsidRDefault="00267175" w:rsidP="00267175">
            <w:pPr>
              <w:spacing w:after="160"/>
              <w:jc w:val="left"/>
            </w:pPr>
            <w:r>
              <w:lastRenderedPageBreak/>
              <w:t xml:space="preserve">To ensure that records of decisions reached and reasons </w:t>
            </w:r>
            <w:r>
              <w:lastRenderedPageBreak/>
              <w:t>for decisions are recorded accurately, appropriately and in a timely manner.</w:t>
            </w:r>
          </w:p>
          <w:p w14:paraId="3316411C" w14:textId="09A84119" w:rsidR="00AA756F" w:rsidRDefault="00267175" w:rsidP="006466CB">
            <w:pPr>
              <w:spacing w:after="160"/>
              <w:jc w:val="left"/>
            </w:pPr>
            <w:r>
              <w:t>To alert senior officers to potential risks of placement breakdown, escalation of costs, appeals against decisions.</w:t>
            </w:r>
          </w:p>
        </w:tc>
        <w:tc>
          <w:tcPr>
            <w:tcW w:w="3019" w:type="dxa"/>
          </w:tcPr>
          <w:p w14:paraId="77CC8FC2" w14:textId="66624126" w:rsidR="00AA756F" w:rsidRDefault="00177962" w:rsidP="006466CB">
            <w:pPr>
              <w:spacing w:after="160"/>
              <w:jc w:val="left"/>
            </w:pPr>
            <w:r>
              <w:lastRenderedPageBreak/>
              <w:t xml:space="preserve">Requests to review decisions should be escalated to the </w:t>
            </w:r>
            <w:r>
              <w:lastRenderedPageBreak/>
              <w:t>Director of Education for supervision and oversight.</w:t>
            </w:r>
          </w:p>
        </w:tc>
      </w:tr>
      <w:tr w:rsidR="00AA756F" w14:paraId="5512BF0B" w14:textId="77777777" w:rsidTr="009D08B1">
        <w:tc>
          <w:tcPr>
            <w:tcW w:w="2122" w:type="dxa"/>
            <w:shd w:val="clear" w:color="auto" w:fill="F2F2F2" w:themeFill="background1" w:themeFillShade="F2"/>
          </w:tcPr>
          <w:p w14:paraId="7BD81226" w14:textId="6016DBAE" w:rsidR="00AA756F" w:rsidRPr="006466CB" w:rsidRDefault="00B94482" w:rsidP="006466CB">
            <w:pPr>
              <w:spacing w:after="160"/>
              <w:jc w:val="left"/>
              <w:rPr>
                <w:b/>
                <w:bCs/>
              </w:rPr>
            </w:pPr>
            <w:r w:rsidRPr="006466CB">
              <w:rPr>
                <w:b/>
                <w:bCs/>
              </w:rPr>
              <w:t>Tribunal Officer</w:t>
            </w:r>
          </w:p>
        </w:tc>
        <w:tc>
          <w:tcPr>
            <w:tcW w:w="1559" w:type="dxa"/>
          </w:tcPr>
          <w:p w14:paraId="2B3D2C46" w14:textId="471B7405" w:rsidR="00AA756F" w:rsidRDefault="008235DA" w:rsidP="006466CB">
            <w:pPr>
              <w:spacing w:after="160"/>
              <w:jc w:val="left"/>
            </w:pPr>
            <w:r>
              <w:t>As required.</w:t>
            </w:r>
          </w:p>
        </w:tc>
        <w:tc>
          <w:tcPr>
            <w:tcW w:w="5670" w:type="dxa"/>
          </w:tcPr>
          <w:p w14:paraId="64D845A1" w14:textId="098DF9BD" w:rsidR="00AA756F" w:rsidRDefault="00EA7B20" w:rsidP="006466CB">
            <w:pPr>
              <w:spacing w:after="160"/>
              <w:jc w:val="left"/>
            </w:pPr>
            <w:r>
              <w:t>To take decisions in Tribunal hearings</w:t>
            </w:r>
            <w:r w:rsidR="00323FD2">
              <w:t xml:space="preserve"> or in implementing Tribunal judgements, when decisions are required at that time and cannot be deferred to Panel discussions.</w:t>
            </w:r>
          </w:p>
        </w:tc>
        <w:tc>
          <w:tcPr>
            <w:tcW w:w="3018" w:type="dxa"/>
          </w:tcPr>
          <w:p w14:paraId="57F42746" w14:textId="77777777" w:rsidR="00AA756F" w:rsidRDefault="00AA756F" w:rsidP="006466CB">
            <w:pPr>
              <w:spacing w:after="160"/>
              <w:jc w:val="left"/>
            </w:pPr>
          </w:p>
        </w:tc>
        <w:tc>
          <w:tcPr>
            <w:tcW w:w="3019" w:type="dxa"/>
          </w:tcPr>
          <w:p w14:paraId="4C9396F3" w14:textId="033F3BC2" w:rsidR="00AA756F" w:rsidRDefault="00382EED" w:rsidP="006466CB">
            <w:pPr>
              <w:spacing w:after="160"/>
              <w:jc w:val="left"/>
            </w:pPr>
            <w:r>
              <w:t>Final Tribunal judgements must be implemented by the local authority</w:t>
            </w:r>
          </w:p>
        </w:tc>
      </w:tr>
    </w:tbl>
    <w:p w14:paraId="72EB4B99" w14:textId="77777777" w:rsidR="009A40FE" w:rsidRDefault="009A40FE" w:rsidP="00416A4C">
      <w:pPr>
        <w:pStyle w:val="Heading1"/>
      </w:pPr>
    </w:p>
    <w:p w14:paraId="1D1C71B6" w14:textId="0C2B4463" w:rsidR="00416A4C" w:rsidRDefault="00416A4C" w:rsidP="00416A4C">
      <w:pPr>
        <w:pStyle w:val="Heading1"/>
      </w:pPr>
      <w:r>
        <w:t>Arrangements and responsibility for reviewing the scheme of delegation</w:t>
      </w:r>
    </w:p>
    <w:p w14:paraId="30A4C3A3" w14:textId="71977E6C" w:rsidR="00AA57FB" w:rsidRPr="00401C96" w:rsidRDefault="00416A4C" w:rsidP="00401C96">
      <w:r>
        <w:t xml:space="preserve">This scheme of delegation will be reviewed and, if necessary, updated </w:t>
      </w:r>
      <w:r w:rsidR="006E0C0F">
        <w:t>every two years</w:t>
      </w:r>
      <w:r>
        <w:t xml:space="preserve">. Feedback will be gathered from </w:t>
      </w:r>
      <w:r w:rsidR="00C63CA5">
        <w:t xml:space="preserve">the </w:t>
      </w:r>
      <w:r w:rsidR="00A541FE">
        <w:t xml:space="preserve">relevant </w:t>
      </w:r>
      <w:r w:rsidR="00C63CA5">
        <w:t xml:space="preserve">officers </w:t>
      </w:r>
      <w:r w:rsidR="00A541FE">
        <w:t xml:space="preserve">and </w:t>
      </w:r>
      <w:proofErr w:type="gramStart"/>
      <w:r w:rsidR="00A541FE">
        <w:t xml:space="preserve">leaders </w:t>
      </w:r>
      <w:r w:rsidR="00C63CA5">
        <w:t>,</w:t>
      </w:r>
      <w:proofErr w:type="gramEnd"/>
      <w:r w:rsidR="00C63CA5">
        <w:t xml:space="preserve"> through </w:t>
      </w:r>
      <w:r w:rsidR="00A541FE">
        <w:t>the Quality of Plans COG, p</w:t>
      </w:r>
      <w:r w:rsidR="00C63CA5">
        <w:t xml:space="preserve">anel meetings, and through the operation of the Essex EHCP Quality-Assurance Framework. </w:t>
      </w:r>
      <w:r>
        <w:t xml:space="preserve">Responsibility for the review of the </w:t>
      </w:r>
      <w:r w:rsidR="00C63CA5">
        <w:t>scheme of delegation</w:t>
      </w:r>
      <w:r>
        <w:t xml:space="preserve"> and </w:t>
      </w:r>
      <w:r w:rsidR="00066046">
        <w:t xml:space="preserve">enacting decisions by the Director of Children’s Services and the Director of Education </w:t>
      </w:r>
      <w:r>
        <w:t xml:space="preserve">regarding </w:t>
      </w:r>
      <w:r w:rsidR="00C63CA5">
        <w:t xml:space="preserve">any changes made to the </w:t>
      </w:r>
      <w:r w:rsidR="00066046">
        <w:t xml:space="preserve">scheme of delegation </w:t>
      </w:r>
      <w:r>
        <w:t>will sit with the Head of SEND Strategy &amp; Innovation.</w:t>
      </w:r>
    </w:p>
    <w:sectPr w:rsidR="00AA57FB" w:rsidRPr="00401C96" w:rsidSect="00383C28">
      <w:headerReference w:type="default" r:id="rId15"/>
      <w:footerReference w:type="default" r:id="rId16"/>
      <w:pgSz w:w="16838" w:h="11906" w:orient="landscape"/>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89ED" w14:textId="77777777" w:rsidR="00BC1AB6" w:rsidRDefault="00BC1AB6" w:rsidP="00E00FE5">
      <w:pPr>
        <w:spacing w:after="0" w:line="240" w:lineRule="auto"/>
      </w:pPr>
      <w:r>
        <w:separator/>
      </w:r>
    </w:p>
  </w:endnote>
  <w:endnote w:type="continuationSeparator" w:id="0">
    <w:p w14:paraId="1DDF40CF" w14:textId="77777777" w:rsidR="00BC1AB6" w:rsidRDefault="00BC1AB6" w:rsidP="00E0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49163"/>
      <w:docPartObj>
        <w:docPartGallery w:val="Page Numbers (Bottom of Page)"/>
        <w:docPartUnique/>
      </w:docPartObj>
    </w:sdtPr>
    <w:sdtEndPr>
      <w:rPr>
        <w:noProof/>
      </w:rPr>
    </w:sdtEndPr>
    <w:sdtContent>
      <w:p w14:paraId="79C24374" w14:textId="7A738DB7" w:rsidR="00E00FE5" w:rsidRDefault="00E00F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8A0739" w14:textId="77777777" w:rsidR="00E00FE5" w:rsidRDefault="00E00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C87A" w14:textId="77777777" w:rsidR="00BC1AB6" w:rsidRDefault="00BC1AB6" w:rsidP="00E00FE5">
      <w:pPr>
        <w:spacing w:after="0" w:line="240" w:lineRule="auto"/>
      </w:pPr>
      <w:r>
        <w:separator/>
      </w:r>
    </w:p>
  </w:footnote>
  <w:footnote w:type="continuationSeparator" w:id="0">
    <w:p w14:paraId="0E548D81" w14:textId="77777777" w:rsidR="00BC1AB6" w:rsidRDefault="00BC1AB6" w:rsidP="00E00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2ACC" w14:textId="2A8B88A6" w:rsidR="00A8225F" w:rsidRPr="002211EA" w:rsidRDefault="00A8225F" w:rsidP="006F11B2">
    <w:pPr>
      <w:pStyle w:val="Header"/>
      <w:spacing w:after="240"/>
      <w:jc w:val="left"/>
      <w:rPr>
        <w:b/>
        <w:bCs/>
        <w:color w:val="7F7F7F" w:themeColor="text1" w:themeTint="80"/>
      </w:rPr>
    </w:pPr>
    <w:r w:rsidRPr="00AA7574">
      <w:rPr>
        <w:b/>
        <w:bCs/>
      </w:rPr>
      <w:t xml:space="preserve">Essex </w:t>
    </w:r>
    <w:r w:rsidR="00A541FE" w:rsidRPr="00AA7574">
      <w:rPr>
        <w:b/>
        <w:bCs/>
      </w:rPr>
      <w:t>SEND Scheme of Delegation</w:t>
    </w:r>
    <w:r w:rsidR="006F11B2" w:rsidRPr="006F11B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FFC"/>
    <w:multiLevelType w:val="hybridMultilevel"/>
    <w:tmpl w:val="C8C8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7289E"/>
    <w:multiLevelType w:val="hybridMultilevel"/>
    <w:tmpl w:val="EED61C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68401C"/>
    <w:multiLevelType w:val="hybridMultilevel"/>
    <w:tmpl w:val="7AF0C3FA"/>
    <w:lvl w:ilvl="0" w:tplc="1BCEF49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62019"/>
    <w:multiLevelType w:val="hybridMultilevel"/>
    <w:tmpl w:val="2A00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C646B"/>
    <w:multiLevelType w:val="hybridMultilevel"/>
    <w:tmpl w:val="7426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F240F"/>
    <w:multiLevelType w:val="hybridMultilevel"/>
    <w:tmpl w:val="B6F67268"/>
    <w:lvl w:ilvl="0" w:tplc="602C12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042A11"/>
    <w:multiLevelType w:val="hybridMultilevel"/>
    <w:tmpl w:val="2166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C71DC"/>
    <w:multiLevelType w:val="hybridMultilevel"/>
    <w:tmpl w:val="B65A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A3FEA"/>
    <w:multiLevelType w:val="multilevel"/>
    <w:tmpl w:val="7EC0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764C2"/>
    <w:multiLevelType w:val="hybridMultilevel"/>
    <w:tmpl w:val="67D61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F006F04"/>
    <w:multiLevelType w:val="hybridMultilevel"/>
    <w:tmpl w:val="937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12A68"/>
    <w:multiLevelType w:val="multilevel"/>
    <w:tmpl w:val="2B88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44013"/>
    <w:multiLevelType w:val="hybridMultilevel"/>
    <w:tmpl w:val="B2F02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012BB"/>
    <w:multiLevelType w:val="hybridMultilevel"/>
    <w:tmpl w:val="9408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465045">
    <w:abstractNumId w:val="6"/>
  </w:num>
  <w:num w:numId="2" w16cid:durableId="1233539860">
    <w:abstractNumId w:val="7"/>
  </w:num>
  <w:num w:numId="3" w16cid:durableId="467011612">
    <w:abstractNumId w:val="3"/>
  </w:num>
  <w:num w:numId="4" w16cid:durableId="1264536670">
    <w:abstractNumId w:val="10"/>
  </w:num>
  <w:num w:numId="5" w16cid:durableId="1468400490">
    <w:abstractNumId w:val="13"/>
  </w:num>
  <w:num w:numId="6" w16cid:durableId="1249118335">
    <w:abstractNumId w:val="2"/>
  </w:num>
  <w:num w:numId="7" w16cid:durableId="955672202">
    <w:abstractNumId w:val="0"/>
  </w:num>
  <w:num w:numId="8" w16cid:durableId="935670273">
    <w:abstractNumId w:val="4"/>
  </w:num>
  <w:num w:numId="9" w16cid:durableId="28191027">
    <w:abstractNumId w:val="11"/>
  </w:num>
  <w:num w:numId="10" w16cid:durableId="1555965916">
    <w:abstractNumId w:val="8"/>
  </w:num>
  <w:num w:numId="11" w16cid:durableId="364522551">
    <w:abstractNumId w:val="12"/>
  </w:num>
  <w:num w:numId="12" w16cid:durableId="199364427">
    <w:abstractNumId w:val="5"/>
  </w:num>
  <w:num w:numId="13" w16cid:durableId="905265076">
    <w:abstractNumId w:val="1"/>
  </w:num>
  <w:num w:numId="14" w16cid:durableId="1616599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E5"/>
    <w:rsid w:val="00020921"/>
    <w:rsid w:val="000609DF"/>
    <w:rsid w:val="0006512E"/>
    <w:rsid w:val="00066046"/>
    <w:rsid w:val="000A33C0"/>
    <w:rsid w:val="000A4409"/>
    <w:rsid w:val="000B31F8"/>
    <w:rsid w:val="000D093F"/>
    <w:rsid w:val="000D5C23"/>
    <w:rsid w:val="000F1FF3"/>
    <w:rsid w:val="000F3A80"/>
    <w:rsid w:val="00102A1D"/>
    <w:rsid w:val="001155BD"/>
    <w:rsid w:val="00132455"/>
    <w:rsid w:val="001326F7"/>
    <w:rsid w:val="00133FE3"/>
    <w:rsid w:val="00154A71"/>
    <w:rsid w:val="00166337"/>
    <w:rsid w:val="00176829"/>
    <w:rsid w:val="00177962"/>
    <w:rsid w:val="00196791"/>
    <w:rsid w:val="001A5F1E"/>
    <w:rsid w:val="001C07F1"/>
    <w:rsid w:val="001D36B8"/>
    <w:rsid w:val="001D545F"/>
    <w:rsid w:val="001D5E8D"/>
    <w:rsid w:val="001E3D48"/>
    <w:rsid w:val="001E6973"/>
    <w:rsid w:val="00216482"/>
    <w:rsid w:val="002211EA"/>
    <w:rsid w:val="002273B7"/>
    <w:rsid w:val="00254FB7"/>
    <w:rsid w:val="00267175"/>
    <w:rsid w:val="00280C08"/>
    <w:rsid w:val="002D202C"/>
    <w:rsid w:val="003141AC"/>
    <w:rsid w:val="00323FD2"/>
    <w:rsid w:val="003403CE"/>
    <w:rsid w:val="003465A9"/>
    <w:rsid w:val="00362FA3"/>
    <w:rsid w:val="00365042"/>
    <w:rsid w:val="00382EED"/>
    <w:rsid w:val="00383C28"/>
    <w:rsid w:val="00391B5D"/>
    <w:rsid w:val="003C4646"/>
    <w:rsid w:val="003E7594"/>
    <w:rsid w:val="00401C96"/>
    <w:rsid w:val="00416A4C"/>
    <w:rsid w:val="00417EDF"/>
    <w:rsid w:val="004256CF"/>
    <w:rsid w:val="0044015F"/>
    <w:rsid w:val="0045645A"/>
    <w:rsid w:val="004676E8"/>
    <w:rsid w:val="00471038"/>
    <w:rsid w:val="00495764"/>
    <w:rsid w:val="004C1B35"/>
    <w:rsid w:val="00506596"/>
    <w:rsid w:val="00510159"/>
    <w:rsid w:val="00525892"/>
    <w:rsid w:val="00547B92"/>
    <w:rsid w:val="00574F81"/>
    <w:rsid w:val="00574F88"/>
    <w:rsid w:val="0059466B"/>
    <w:rsid w:val="005A61A9"/>
    <w:rsid w:val="005B13D3"/>
    <w:rsid w:val="005B3213"/>
    <w:rsid w:val="005C61B6"/>
    <w:rsid w:val="00604623"/>
    <w:rsid w:val="00625487"/>
    <w:rsid w:val="006466CB"/>
    <w:rsid w:val="00653C05"/>
    <w:rsid w:val="006555A4"/>
    <w:rsid w:val="006577A9"/>
    <w:rsid w:val="00666BDD"/>
    <w:rsid w:val="0067229E"/>
    <w:rsid w:val="006952AE"/>
    <w:rsid w:val="006D742D"/>
    <w:rsid w:val="006E0C0F"/>
    <w:rsid w:val="006E1E25"/>
    <w:rsid w:val="006E7888"/>
    <w:rsid w:val="006E7D1B"/>
    <w:rsid w:val="006F11B2"/>
    <w:rsid w:val="006F21E7"/>
    <w:rsid w:val="006F4FD9"/>
    <w:rsid w:val="007340CB"/>
    <w:rsid w:val="00737726"/>
    <w:rsid w:val="007420F7"/>
    <w:rsid w:val="00742EF6"/>
    <w:rsid w:val="00763F04"/>
    <w:rsid w:val="00777420"/>
    <w:rsid w:val="007805F4"/>
    <w:rsid w:val="007814A1"/>
    <w:rsid w:val="00784B42"/>
    <w:rsid w:val="00792332"/>
    <w:rsid w:val="007A3592"/>
    <w:rsid w:val="007B47BF"/>
    <w:rsid w:val="007D22D5"/>
    <w:rsid w:val="007E7322"/>
    <w:rsid w:val="0081055C"/>
    <w:rsid w:val="00810916"/>
    <w:rsid w:val="00812826"/>
    <w:rsid w:val="008235DA"/>
    <w:rsid w:val="008370A9"/>
    <w:rsid w:val="00845009"/>
    <w:rsid w:val="00852B8D"/>
    <w:rsid w:val="008577D7"/>
    <w:rsid w:val="00863E50"/>
    <w:rsid w:val="00871525"/>
    <w:rsid w:val="008902F3"/>
    <w:rsid w:val="008C6C8F"/>
    <w:rsid w:val="008D6BC8"/>
    <w:rsid w:val="008E299D"/>
    <w:rsid w:val="008E6832"/>
    <w:rsid w:val="008F0C95"/>
    <w:rsid w:val="008F4BE8"/>
    <w:rsid w:val="009354F4"/>
    <w:rsid w:val="009438C7"/>
    <w:rsid w:val="009748A7"/>
    <w:rsid w:val="00976F08"/>
    <w:rsid w:val="009A0470"/>
    <w:rsid w:val="009A092D"/>
    <w:rsid w:val="009A40FE"/>
    <w:rsid w:val="009B4607"/>
    <w:rsid w:val="009D08B1"/>
    <w:rsid w:val="009D7AA3"/>
    <w:rsid w:val="009E3264"/>
    <w:rsid w:val="00A03296"/>
    <w:rsid w:val="00A11BFD"/>
    <w:rsid w:val="00A177D7"/>
    <w:rsid w:val="00A23A1D"/>
    <w:rsid w:val="00A33D14"/>
    <w:rsid w:val="00A541FE"/>
    <w:rsid w:val="00A73285"/>
    <w:rsid w:val="00A8225F"/>
    <w:rsid w:val="00A82B9C"/>
    <w:rsid w:val="00AA2A49"/>
    <w:rsid w:val="00AA5090"/>
    <w:rsid w:val="00AA57FB"/>
    <w:rsid w:val="00AA756F"/>
    <w:rsid w:val="00AA7574"/>
    <w:rsid w:val="00AB511F"/>
    <w:rsid w:val="00AC3E21"/>
    <w:rsid w:val="00AC6F1D"/>
    <w:rsid w:val="00AD6C79"/>
    <w:rsid w:val="00AE76FB"/>
    <w:rsid w:val="00B1017C"/>
    <w:rsid w:val="00B1279D"/>
    <w:rsid w:val="00B2130C"/>
    <w:rsid w:val="00B42280"/>
    <w:rsid w:val="00B647CE"/>
    <w:rsid w:val="00B8254A"/>
    <w:rsid w:val="00B94482"/>
    <w:rsid w:val="00BB24B9"/>
    <w:rsid w:val="00BC1AB6"/>
    <w:rsid w:val="00BD51C6"/>
    <w:rsid w:val="00BE7640"/>
    <w:rsid w:val="00C0538D"/>
    <w:rsid w:val="00C115D5"/>
    <w:rsid w:val="00C118A6"/>
    <w:rsid w:val="00C31442"/>
    <w:rsid w:val="00C52BDD"/>
    <w:rsid w:val="00C63CA5"/>
    <w:rsid w:val="00C71B74"/>
    <w:rsid w:val="00C90BAD"/>
    <w:rsid w:val="00CA4A2E"/>
    <w:rsid w:val="00CC7EB6"/>
    <w:rsid w:val="00CF0362"/>
    <w:rsid w:val="00CF4DCD"/>
    <w:rsid w:val="00D11C53"/>
    <w:rsid w:val="00D15F07"/>
    <w:rsid w:val="00D21645"/>
    <w:rsid w:val="00D35061"/>
    <w:rsid w:val="00D63A60"/>
    <w:rsid w:val="00D7129B"/>
    <w:rsid w:val="00D7288D"/>
    <w:rsid w:val="00D76976"/>
    <w:rsid w:val="00D942B7"/>
    <w:rsid w:val="00DB5E57"/>
    <w:rsid w:val="00DC0C8B"/>
    <w:rsid w:val="00DD2357"/>
    <w:rsid w:val="00DE0789"/>
    <w:rsid w:val="00E00FE5"/>
    <w:rsid w:val="00E32E38"/>
    <w:rsid w:val="00E40B07"/>
    <w:rsid w:val="00E523DC"/>
    <w:rsid w:val="00E621C5"/>
    <w:rsid w:val="00E72A9F"/>
    <w:rsid w:val="00E73EEB"/>
    <w:rsid w:val="00E87858"/>
    <w:rsid w:val="00E949C6"/>
    <w:rsid w:val="00EA0D97"/>
    <w:rsid w:val="00EA2540"/>
    <w:rsid w:val="00EA5A31"/>
    <w:rsid w:val="00EA7B20"/>
    <w:rsid w:val="00EB20AD"/>
    <w:rsid w:val="00EC331C"/>
    <w:rsid w:val="00ED1B4F"/>
    <w:rsid w:val="00F14C43"/>
    <w:rsid w:val="00F30CAD"/>
    <w:rsid w:val="00F32D3A"/>
    <w:rsid w:val="00F36DC3"/>
    <w:rsid w:val="00F45008"/>
    <w:rsid w:val="00F466C1"/>
    <w:rsid w:val="00F6344B"/>
    <w:rsid w:val="00F74F51"/>
    <w:rsid w:val="00F97321"/>
    <w:rsid w:val="00FA47E4"/>
    <w:rsid w:val="00FA76C4"/>
    <w:rsid w:val="00FC5265"/>
    <w:rsid w:val="00FD09AD"/>
    <w:rsid w:val="00FD4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F3B81"/>
  <w15:chartTrackingRefBased/>
  <w15:docId w15:val="{C85AE48D-30CC-43ED-8C86-CA13B3E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1D"/>
    <w:pPr>
      <w:jc w:val="both"/>
    </w:pPr>
  </w:style>
  <w:style w:type="paragraph" w:styleId="Heading1">
    <w:name w:val="heading 1"/>
    <w:basedOn w:val="Normal"/>
    <w:next w:val="Normal"/>
    <w:link w:val="Heading1Char"/>
    <w:uiPriority w:val="9"/>
    <w:qFormat/>
    <w:rsid w:val="00401C96"/>
    <w:pPr>
      <w:keepNext/>
      <w:keepLines/>
      <w:outlineLvl w:val="0"/>
    </w:pPr>
    <w:rPr>
      <w:rFonts w:eastAsiaTheme="majorEastAsia" w:cstheme="majorBidi"/>
      <w:b/>
      <w:color w:val="4472C4" w:themeColor="accent1"/>
      <w:sz w:val="32"/>
      <w:szCs w:val="32"/>
    </w:rPr>
  </w:style>
  <w:style w:type="paragraph" w:styleId="Heading2">
    <w:name w:val="heading 2"/>
    <w:basedOn w:val="Normal"/>
    <w:next w:val="Normal"/>
    <w:link w:val="Heading2Char"/>
    <w:uiPriority w:val="9"/>
    <w:unhideWhenUsed/>
    <w:qFormat/>
    <w:rsid w:val="00401C96"/>
    <w:pPr>
      <w:keepNext/>
      <w:keepLines/>
      <w:outlineLvl w:val="1"/>
    </w:pPr>
    <w:rPr>
      <w:rFonts w:eastAsiaTheme="majorEastAsia" w:cstheme="majorBidi"/>
      <w:b/>
      <w:color w:val="44546A"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FE5"/>
  </w:style>
  <w:style w:type="paragraph" w:styleId="Footer">
    <w:name w:val="footer"/>
    <w:basedOn w:val="Normal"/>
    <w:link w:val="FooterChar"/>
    <w:uiPriority w:val="99"/>
    <w:unhideWhenUsed/>
    <w:rsid w:val="00E00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FE5"/>
  </w:style>
  <w:style w:type="character" w:customStyle="1" w:styleId="Heading1Char">
    <w:name w:val="Heading 1 Char"/>
    <w:basedOn w:val="DefaultParagraphFont"/>
    <w:link w:val="Heading1"/>
    <w:uiPriority w:val="9"/>
    <w:rsid w:val="00401C96"/>
    <w:rPr>
      <w:rFonts w:eastAsiaTheme="majorEastAsia" w:cstheme="majorBidi"/>
      <w:b/>
      <w:color w:val="4472C4" w:themeColor="accent1"/>
      <w:sz w:val="32"/>
      <w:szCs w:val="32"/>
    </w:rPr>
  </w:style>
  <w:style w:type="paragraph" w:styleId="Title">
    <w:name w:val="Title"/>
    <w:basedOn w:val="Normal"/>
    <w:next w:val="Normal"/>
    <w:link w:val="TitleChar"/>
    <w:uiPriority w:val="10"/>
    <w:qFormat/>
    <w:rsid w:val="00B42280"/>
    <w:pPr>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B42280"/>
    <w:rPr>
      <w:rFonts w:eastAsiaTheme="majorEastAsia" w:cstheme="majorBidi"/>
      <w:b/>
      <w:spacing w:val="-10"/>
      <w:kern w:val="28"/>
      <w:sz w:val="40"/>
      <w:szCs w:val="56"/>
    </w:rPr>
  </w:style>
  <w:style w:type="character" w:customStyle="1" w:styleId="Heading2Char">
    <w:name w:val="Heading 2 Char"/>
    <w:basedOn w:val="DefaultParagraphFont"/>
    <w:link w:val="Heading2"/>
    <w:uiPriority w:val="9"/>
    <w:rsid w:val="00401C96"/>
    <w:rPr>
      <w:rFonts w:eastAsiaTheme="majorEastAsia" w:cstheme="majorBidi"/>
      <w:b/>
      <w:color w:val="44546A" w:themeColor="text2"/>
      <w:sz w:val="28"/>
      <w:szCs w:val="26"/>
    </w:rPr>
  </w:style>
  <w:style w:type="paragraph" w:styleId="ListParagraph">
    <w:name w:val="List Paragraph"/>
    <w:basedOn w:val="Normal"/>
    <w:uiPriority w:val="34"/>
    <w:qFormat/>
    <w:rsid w:val="00A82B9C"/>
    <w:pPr>
      <w:ind w:left="720"/>
      <w:contextualSpacing/>
    </w:pPr>
  </w:style>
  <w:style w:type="table" w:styleId="TableGrid">
    <w:name w:val="Table Grid"/>
    <w:basedOn w:val="TableNormal"/>
    <w:uiPriority w:val="39"/>
    <w:rsid w:val="00AA7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7AA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D7AA3"/>
    <w:rPr>
      <w:color w:val="0000FF"/>
      <w:u w:val="single"/>
    </w:rPr>
  </w:style>
  <w:style w:type="paragraph" w:styleId="Revision">
    <w:name w:val="Revision"/>
    <w:hidden/>
    <w:uiPriority w:val="99"/>
    <w:semiHidden/>
    <w:rsid w:val="009D7AA3"/>
    <w:pPr>
      <w:spacing w:after="0" w:line="240" w:lineRule="auto"/>
    </w:pPr>
  </w:style>
  <w:style w:type="table" w:styleId="GridTable1Light">
    <w:name w:val="Grid Table 1 Light"/>
    <w:basedOn w:val="TableNormal"/>
    <w:uiPriority w:val="46"/>
    <w:rsid w:val="00102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102A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5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28125">
      <w:bodyDiv w:val="1"/>
      <w:marLeft w:val="0"/>
      <w:marRight w:val="0"/>
      <w:marTop w:val="0"/>
      <w:marBottom w:val="0"/>
      <w:divBdr>
        <w:top w:val="none" w:sz="0" w:space="0" w:color="auto"/>
        <w:left w:val="none" w:sz="0" w:space="0" w:color="auto"/>
        <w:bottom w:val="none" w:sz="0" w:space="0" w:color="auto"/>
        <w:right w:val="none" w:sz="0" w:space="0" w:color="auto"/>
      </w:divBdr>
      <w:divsChild>
        <w:div w:id="1211308275">
          <w:marLeft w:val="0"/>
          <w:marRight w:val="0"/>
          <w:marTop w:val="0"/>
          <w:marBottom w:val="0"/>
          <w:divBdr>
            <w:top w:val="none" w:sz="0" w:space="0" w:color="auto"/>
            <w:left w:val="none" w:sz="0" w:space="0" w:color="auto"/>
            <w:bottom w:val="none" w:sz="0" w:space="0" w:color="auto"/>
            <w:right w:val="none" w:sz="0" w:space="0" w:color="auto"/>
          </w:divBdr>
          <w:divsChild>
            <w:div w:id="349987699">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sChild>
                    <w:div w:id="1933393039">
                      <w:marLeft w:val="0"/>
                      <w:marRight w:val="0"/>
                      <w:marTop w:val="0"/>
                      <w:marBottom w:val="0"/>
                      <w:divBdr>
                        <w:top w:val="none" w:sz="0" w:space="0" w:color="auto"/>
                        <w:left w:val="none" w:sz="0" w:space="0" w:color="auto"/>
                        <w:bottom w:val="none" w:sz="0" w:space="0" w:color="auto"/>
                        <w:right w:val="none" w:sz="0" w:space="0" w:color="auto"/>
                      </w:divBdr>
                      <w:divsChild>
                        <w:div w:id="1792552873">
                          <w:marLeft w:val="0"/>
                          <w:marRight w:val="0"/>
                          <w:marTop w:val="0"/>
                          <w:marBottom w:val="0"/>
                          <w:divBdr>
                            <w:top w:val="none" w:sz="0" w:space="0" w:color="auto"/>
                            <w:left w:val="none" w:sz="0" w:space="0" w:color="auto"/>
                            <w:bottom w:val="none" w:sz="0" w:space="0" w:color="auto"/>
                            <w:right w:val="none" w:sz="0" w:space="0" w:color="auto"/>
                          </w:divBdr>
                          <w:divsChild>
                            <w:div w:id="1143815058">
                              <w:marLeft w:val="0"/>
                              <w:marRight w:val="0"/>
                              <w:marTop w:val="0"/>
                              <w:marBottom w:val="0"/>
                              <w:divBdr>
                                <w:top w:val="none" w:sz="0" w:space="0" w:color="auto"/>
                                <w:left w:val="none" w:sz="0" w:space="0" w:color="auto"/>
                                <w:bottom w:val="none" w:sz="0" w:space="0" w:color="auto"/>
                                <w:right w:val="none" w:sz="0" w:space="0" w:color="auto"/>
                              </w:divBdr>
                              <w:divsChild>
                                <w:div w:id="1288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94218">
      <w:bodyDiv w:val="1"/>
      <w:marLeft w:val="0"/>
      <w:marRight w:val="0"/>
      <w:marTop w:val="0"/>
      <w:marBottom w:val="0"/>
      <w:divBdr>
        <w:top w:val="none" w:sz="0" w:space="0" w:color="auto"/>
        <w:left w:val="none" w:sz="0" w:space="0" w:color="auto"/>
        <w:bottom w:val="none" w:sz="0" w:space="0" w:color="auto"/>
        <w:right w:val="none" w:sz="0" w:space="0" w:color="auto"/>
      </w:divBdr>
    </w:div>
    <w:div w:id="19495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hools.essex.gov.uk/pupils/SEND/Documents/9456%20SEND%20Strategy%202022-27%20ACCESSIBL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3137F1-6609-4B81-ACA5-A512F6FDCB9D}"/>
</file>

<file path=customXml/itemProps2.xml><?xml version="1.0" encoding="utf-8"?>
<ds:datastoreItem xmlns:ds="http://schemas.openxmlformats.org/officeDocument/2006/customXml" ds:itemID="{2D66A0DF-D40A-4A19-89DD-624DBC6ADE5B}">
  <ds:schemaRefs>
    <ds:schemaRef ds:uri="http://schemas.microsoft.com/office/2006/metadata/properties"/>
    <ds:schemaRef ds:uri="http://schemas.microsoft.com/office/infopath/2007/PartnerControls"/>
    <ds:schemaRef ds:uri="87990e6e-a065-4d72-9d43-2a13b1529a25"/>
  </ds:schemaRefs>
</ds:datastoreItem>
</file>

<file path=customXml/itemProps3.xml><?xml version="1.0" encoding="utf-8"?>
<ds:datastoreItem xmlns:ds="http://schemas.openxmlformats.org/officeDocument/2006/customXml" ds:itemID="{A33D4FF5-C059-492A-B916-E39BCAC7EBAD}">
  <ds:schemaRefs>
    <ds:schemaRef ds:uri="http://schemas.microsoft.com/sharepoint/v3/contenttype/forms"/>
  </ds:schemaRefs>
</ds:datastoreItem>
</file>

<file path=customXml/itemProps4.xml><?xml version="1.0" encoding="utf-8"?>
<ds:datastoreItem xmlns:ds="http://schemas.openxmlformats.org/officeDocument/2006/customXml" ds:itemID="{AC937128-B34B-4888-88D5-6991C6046795}">
  <ds:schemaRefs>
    <ds:schemaRef ds:uri="http://schemas.openxmlformats.org/officeDocument/2006/bibliography"/>
  </ds:schemaRefs>
</ds:datastoreItem>
</file>

<file path=customXml/itemProps5.xml><?xml version="1.0" encoding="utf-8"?>
<ds:datastoreItem xmlns:ds="http://schemas.openxmlformats.org/officeDocument/2006/customXml" ds:itemID="{F7A4A272-10C9-4C86-AA02-1F62F47A7B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Bryant</dc:creator>
  <cp:keywords/>
  <dc:description/>
  <cp:lastModifiedBy>Alex Abercrombie - SEND Strategy Lead - Transformation</cp:lastModifiedBy>
  <cp:revision>4</cp:revision>
  <dcterms:created xsi:type="dcterms:W3CDTF">2024-02-07T17:35:00Z</dcterms:created>
  <dcterms:modified xsi:type="dcterms:W3CDTF">2024-03-04T11:41:00Z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0x0101003EADB109E4676D4E8B233EB803967FB6</vt:lpwstr>
  </property>
  <property fmtid="{D5CDD505-2E9C-101B-9397-08002B2CF9AE}" pid="3" name="_dlc_DocIdItemGuid">
    <vt:lpwstr>a02a09b6-3a38-4eab-88d1-c1fb2a8c8965</vt:lpwstr>
  </property>
  <property fmtid="{D5CDD505-2E9C-101B-9397-08002B2CF9AE}" pid="4" name="MSIP_Label_39d8be9e-c8d9-4b9c-bd40-2c27cc7ea2e6_Enabled">
    <vt:lpwstr>true</vt:lpwstr>
  </property>
  <property fmtid="{D5CDD505-2E9C-101B-9397-08002B2CF9AE}" pid="5" name="MSIP_Label_39d8be9e-c8d9-4b9c-bd40-2c27cc7ea2e6_SetDate">
    <vt:lpwstr>2021-07-20T18:48:31Z</vt:lpwstr>
  </property>
  <property fmtid="{D5CDD505-2E9C-101B-9397-08002B2CF9AE}" pid="6" name="MSIP_Label_39d8be9e-c8d9-4b9c-bd40-2c27cc7ea2e6_Method">
    <vt:lpwstr>Standard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3956e0dc-f4e9-4fe4-a4f7-0000ef501f18</vt:lpwstr>
  </property>
  <property fmtid="{D5CDD505-2E9C-101B-9397-08002B2CF9AE}" pid="10" name="MSIP_Label_39d8be9e-c8d9-4b9c-bd40-2c27cc7ea2e6_ContentBits">
    <vt:lpwstr>0</vt:lpwstr>
  </property>
</Properties>
</file>