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C978D" w14:textId="1A48BA0B" w:rsidR="00BD6D89" w:rsidRPr="00D513D8" w:rsidRDefault="00BD6D89" w:rsidP="00BD6D89">
      <w:pPr>
        <w:pStyle w:val="Heading1"/>
        <w:rPr>
          <w:sz w:val="52"/>
          <w:szCs w:val="52"/>
        </w:rPr>
      </w:pPr>
      <w:bookmarkStart w:id="0" w:name="_Toc129167338"/>
      <w:bookmarkStart w:id="1" w:name="_Toc129170679"/>
      <w:bookmarkStart w:id="2" w:name="_Toc158223055"/>
      <w:r w:rsidRPr="00D513D8">
        <w:rPr>
          <w:sz w:val="52"/>
          <w:szCs w:val="52"/>
        </w:rPr>
        <w:t xml:space="preserve">Essex SEND </w:t>
      </w:r>
      <w:r w:rsidR="00E44A18" w:rsidRPr="00D513D8">
        <w:rPr>
          <w:sz w:val="52"/>
          <w:szCs w:val="52"/>
        </w:rPr>
        <w:t>Advice</w:t>
      </w:r>
      <w:r w:rsidRPr="00D513D8">
        <w:rPr>
          <w:sz w:val="52"/>
          <w:szCs w:val="52"/>
        </w:rPr>
        <w:t xml:space="preserve"> Writers Guidance</w:t>
      </w:r>
      <w:bookmarkEnd w:id="0"/>
      <w:bookmarkEnd w:id="1"/>
      <w:bookmarkEnd w:id="2"/>
    </w:p>
    <w:p w14:paraId="721402C7" w14:textId="70716A73" w:rsidR="006D0397" w:rsidRPr="00BD6D89" w:rsidRDefault="00BD6D89" w:rsidP="00BD6D89">
      <w:pPr>
        <w:pStyle w:val="Heading2"/>
        <w:rPr>
          <w:b/>
          <w:bCs/>
        </w:rPr>
      </w:pPr>
      <w:bookmarkStart w:id="3" w:name="_Toc129167339"/>
      <w:bookmarkStart w:id="4" w:name="_Toc129170680"/>
      <w:bookmarkStart w:id="5" w:name="_Toc158223056"/>
      <w:r>
        <w:rPr>
          <w:b/>
          <w:bCs/>
        </w:rPr>
        <w:t xml:space="preserve">Writing </w:t>
      </w:r>
      <w:r w:rsidRPr="00BD6D89">
        <w:rPr>
          <w:b/>
          <w:bCs/>
        </w:rPr>
        <w:t>statutory advice for Education, Health and Care needs assessments</w:t>
      </w:r>
      <w:bookmarkEnd w:id="3"/>
      <w:bookmarkEnd w:id="4"/>
      <w:bookmarkEnd w:id="5"/>
    </w:p>
    <w:p w14:paraId="7F655786" w14:textId="41EB7AFF" w:rsidR="00BD6D89" w:rsidRDefault="00BD6D89"/>
    <w:p w14:paraId="16743DB3" w14:textId="77777777" w:rsidR="00E17BCE" w:rsidRPr="007D5D31" w:rsidRDefault="00E17BCE" w:rsidP="00E17BCE">
      <w:pPr>
        <w:rPr>
          <w:b/>
          <w:bCs/>
          <w:sz w:val="24"/>
          <w:szCs w:val="24"/>
        </w:rPr>
      </w:pPr>
      <w:r w:rsidRPr="007D5D31">
        <w:rPr>
          <w:b/>
          <w:bCs/>
          <w:sz w:val="24"/>
          <w:szCs w:val="24"/>
        </w:rPr>
        <w:t>Version details</w:t>
      </w:r>
    </w:p>
    <w:p w14:paraId="046FC84F" w14:textId="0187DFB1" w:rsidR="00E17BCE" w:rsidRDefault="00E17BCE" w:rsidP="00E17BCE">
      <w:pPr>
        <w:pStyle w:val="ListParagraph"/>
        <w:numPr>
          <w:ilvl w:val="0"/>
          <w:numId w:val="12"/>
        </w:numPr>
        <w:jc w:val="both"/>
      </w:pPr>
      <w:r>
        <w:t>Version: 1.0</w:t>
      </w:r>
    </w:p>
    <w:p w14:paraId="4F642EBA" w14:textId="0839D3EB" w:rsidR="00E17BCE" w:rsidRDefault="00E17BCE" w:rsidP="00E17BCE">
      <w:pPr>
        <w:pStyle w:val="ListParagraph"/>
        <w:numPr>
          <w:ilvl w:val="0"/>
          <w:numId w:val="12"/>
        </w:numPr>
        <w:jc w:val="both"/>
      </w:pPr>
      <w:r>
        <w:t xml:space="preserve">Last updated: </w:t>
      </w:r>
      <w:r w:rsidR="00A330BC">
        <w:t>14</w:t>
      </w:r>
      <w:r w:rsidR="00A330BC" w:rsidRPr="00A330BC">
        <w:rPr>
          <w:vertAlign w:val="superscript"/>
        </w:rPr>
        <w:t>th</w:t>
      </w:r>
      <w:r w:rsidR="00A330BC">
        <w:t xml:space="preserve"> Oct 24</w:t>
      </w:r>
    </w:p>
    <w:p w14:paraId="51617FF8" w14:textId="77777777" w:rsidR="00E17BCE" w:rsidRDefault="00E17BCE" w:rsidP="00E17BCE">
      <w:pPr>
        <w:pStyle w:val="ListParagraph"/>
        <w:numPr>
          <w:ilvl w:val="0"/>
          <w:numId w:val="12"/>
        </w:numPr>
        <w:jc w:val="both"/>
      </w:pPr>
      <w:r>
        <w:t>Updated by: Alex Abercrombie, SEND Transformation Lead</w:t>
      </w:r>
    </w:p>
    <w:p w14:paraId="2477243D" w14:textId="406ADA18" w:rsidR="00E17BCE" w:rsidRDefault="00E17BCE" w:rsidP="00E17BCE">
      <w:pPr>
        <w:pStyle w:val="ListParagraph"/>
        <w:numPr>
          <w:ilvl w:val="0"/>
          <w:numId w:val="12"/>
        </w:numPr>
        <w:jc w:val="both"/>
      </w:pPr>
      <w:r>
        <w:t xml:space="preserve">Date for review: To be reviewed every two years, with next review in </w:t>
      </w:r>
      <w:r w:rsidR="00A330BC">
        <w:t>October</w:t>
      </w:r>
      <w:r>
        <w:t xml:space="preserve"> 2026</w:t>
      </w:r>
    </w:p>
    <w:p w14:paraId="09B5F528" w14:textId="77777777" w:rsidR="00E17BCE" w:rsidRDefault="00E17BCE" w:rsidP="00E17BCE">
      <w:pPr>
        <w:pStyle w:val="ListParagraph"/>
        <w:numPr>
          <w:ilvl w:val="0"/>
          <w:numId w:val="12"/>
        </w:numPr>
        <w:jc w:val="both"/>
      </w:pPr>
      <w:r>
        <w:t>Responsibility to review: Ralph Holloway, Head of SEND Strategy &amp; Innovation</w:t>
      </w:r>
    </w:p>
    <w:p w14:paraId="2F42AF31" w14:textId="77777777" w:rsidR="00E17BCE" w:rsidRDefault="00E17BCE" w:rsidP="00E17BCE">
      <w:pPr>
        <w:pStyle w:val="ListParagraph"/>
        <w:jc w:val="both"/>
      </w:pPr>
    </w:p>
    <w:sdt>
      <w:sdtPr>
        <w:rPr>
          <w:rFonts w:asciiTheme="minorHAnsi" w:eastAsiaTheme="minorHAnsi" w:hAnsiTheme="minorHAnsi" w:cstheme="minorBidi"/>
          <w:color w:val="auto"/>
          <w:sz w:val="22"/>
          <w:szCs w:val="22"/>
          <w:lang w:val="en-GB"/>
        </w:rPr>
        <w:id w:val="398640673"/>
        <w:docPartObj>
          <w:docPartGallery w:val="Table of Contents"/>
          <w:docPartUnique/>
        </w:docPartObj>
      </w:sdtPr>
      <w:sdtEndPr>
        <w:rPr>
          <w:b/>
          <w:bCs/>
          <w:noProof/>
        </w:rPr>
      </w:sdtEndPr>
      <w:sdtContent>
        <w:p w14:paraId="13ADA673" w14:textId="0045B95B" w:rsidR="00D513D8" w:rsidRDefault="00D513D8">
          <w:pPr>
            <w:pStyle w:val="TOCHeading"/>
          </w:pPr>
          <w:r>
            <w:t>Contents</w:t>
          </w:r>
        </w:p>
        <w:p w14:paraId="4626A755" w14:textId="13118CC0" w:rsidR="00FF4572" w:rsidRDefault="00D513D8" w:rsidP="00FF4572">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p>
        <w:p w14:paraId="53EE4F94" w14:textId="442BD01C"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57" w:history="1">
            <w:r w:rsidR="00FF4572" w:rsidRPr="00463DD2">
              <w:rPr>
                <w:rStyle w:val="Hyperlink"/>
                <w:b/>
                <w:bCs/>
                <w:noProof/>
              </w:rPr>
              <w:t>A.</w:t>
            </w:r>
            <w:r w:rsidR="00FF4572">
              <w:rPr>
                <w:rFonts w:eastAsiaTheme="minorEastAsia"/>
                <w:noProof/>
                <w:kern w:val="2"/>
                <w:lang w:eastAsia="en-GB"/>
                <w14:ligatures w14:val="standardContextual"/>
              </w:rPr>
              <w:tab/>
            </w:r>
            <w:r w:rsidR="00FF4572" w:rsidRPr="00463DD2">
              <w:rPr>
                <w:rStyle w:val="Hyperlink"/>
                <w:b/>
                <w:bCs/>
                <w:noProof/>
              </w:rPr>
              <w:t>Who is this guidance for:</w:t>
            </w:r>
            <w:r w:rsidR="00FF4572">
              <w:rPr>
                <w:noProof/>
                <w:webHidden/>
              </w:rPr>
              <w:tab/>
            </w:r>
            <w:r w:rsidR="00FF4572">
              <w:rPr>
                <w:noProof/>
                <w:webHidden/>
              </w:rPr>
              <w:fldChar w:fldCharType="begin"/>
            </w:r>
            <w:r w:rsidR="00FF4572">
              <w:rPr>
                <w:noProof/>
                <w:webHidden/>
              </w:rPr>
              <w:instrText xml:space="preserve"> PAGEREF _Toc158223057 \h </w:instrText>
            </w:r>
            <w:r w:rsidR="00FF4572">
              <w:rPr>
                <w:noProof/>
                <w:webHidden/>
              </w:rPr>
            </w:r>
            <w:r w:rsidR="00FF4572">
              <w:rPr>
                <w:noProof/>
                <w:webHidden/>
              </w:rPr>
              <w:fldChar w:fldCharType="separate"/>
            </w:r>
            <w:r w:rsidR="00FF4572">
              <w:rPr>
                <w:noProof/>
                <w:webHidden/>
              </w:rPr>
              <w:t>2</w:t>
            </w:r>
            <w:r w:rsidR="00FF4572">
              <w:rPr>
                <w:noProof/>
                <w:webHidden/>
              </w:rPr>
              <w:fldChar w:fldCharType="end"/>
            </w:r>
          </w:hyperlink>
        </w:p>
        <w:p w14:paraId="786FC996" w14:textId="2911B1FA"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58" w:history="1">
            <w:r w:rsidR="00FF4572" w:rsidRPr="00463DD2">
              <w:rPr>
                <w:rStyle w:val="Hyperlink"/>
                <w:b/>
                <w:bCs/>
                <w:noProof/>
              </w:rPr>
              <w:t>B.</w:t>
            </w:r>
            <w:r w:rsidR="00FF4572">
              <w:rPr>
                <w:rFonts w:eastAsiaTheme="minorEastAsia"/>
                <w:noProof/>
                <w:kern w:val="2"/>
                <w:lang w:eastAsia="en-GB"/>
                <w14:ligatures w14:val="standardContextual"/>
              </w:rPr>
              <w:tab/>
            </w:r>
            <w:r w:rsidR="00FF4572" w:rsidRPr="00463DD2">
              <w:rPr>
                <w:rStyle w:val="Hyperlink"/>
                <w:b/>
                <w:bCs/>
                <w:noProof/>
              </w:rPr>
              <w:t>When should this guidance be used?</w:t>
            </w:r>
            <w:r w:rsidR="00FF4572">
              <w:rPr>
                <w:noProof/>
                <w:webHidden/>
              </w:rPr>
              <w:tab/>
            </w:r>
            <w:r w:rsidR="00FF4572">
              <w:rPr>
                <w:noProof/>
                <w:webHidden/>
              </w:rPr>
              <w:fldChar w:fldCharType="begin"/>
            </w:r>
            <w:r w:rsidR="00FF4572">
              <w:rPr>
                <w:noProof/>
                <w:webHidden/>
              </w:rPr>
              <w:instrText xml:space="preserve"> PAGEREF _Toc158223058 \h </w:instrText>
            </w:r>
            <w:r w:rsidR="00FF4572">
              <w:rPr>
                <w:noProof/>
                <w:webHidden/>
              </w:rPr>
            </w:r>
            <w:r w:rsidR="00FF4572">
              <w:rPr>
                <w:noProof/>
                <w:webHidden/>
              </w:rPr>
              <w:fldChar w:fldCharType="separate"/>
            </w:r>
            <w:r w:rsidR="00FF4572">
              <w:rPr>
                <w:noProof/>
                <w:webHidden/>
              </w:rPr>
              <w:t>2</w:t>
            </w:r>
            <w:r w:rsidR="00FF4572">
              <w:rPr>
                <w:noProof/>
                <w:webHidden/>
              </w:rPr>
              <w:fldChar w:fldCharType="end"/>
            </w:r>
          </w:hyperlink>
        </w:p>
        <w:p w14:paraId="7395841D" w14:textId="75C1F540"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59" w:history="1">
            <w:r w:rsidR="00FF4572" w:rsidRPr="00463DD2">
              <w:rPr>
                <w:rStyle w:val="Hyperlink"/>
                <w:b/>
                <w:bCs/>
                <w:noProof/>
              </w:rPr>
              <w:t>C.</w:t>
            </w:r>
            <w:r w:rsidR="00FF4572">
              <w:rPr>
                <w:rFonts w:eastAsiaTheme="minorEastAsia"/>
                <w:noProof/>
                <w:kern w:val="2"/>
                <w:lang w:eastAsia="en-GB"/>
                <w14:ligatures w14:val="standardContextual"/>
              </w:rPr>
              <w:tab/>
            </w:r>
            <w:r w:rsidR="00FF4572" w:rsidRPr="00463DD2">
              <w:rPr>
                <w:rStyle w:val="Hyperlink"/>
                <w:b/>
                <w:bCs/>
                <w:noProof/>
              </w:rPr>
              <w:t>The process and timescales</w:t>
            </w:r>
            <w:r w:rsidR="00FF4572">
              <w:rPr>
                <w:noProof/>
                <w:webHidden/>
              </w:rPr>
              <w:tab/>
            </w:r>
            <w:r w:rsidR="00FF4572">
              <w:rPr>
                <w:noProof/>
                <w:webHidden/>
              </w:rPr>
              <w:fldChar w:fldCharType="begin"/>
            </w:r>
            <w:r w:rsidR="00FF4572">
              <w:rPr>
                <w:noProof/>
                <w:webHidden/>
              </w:rPr>
              <w:instrText xml:space="preserve"> PAGEREF _Toc158223059 \h </w:instrText>
            </w:r>
            <w:r w:rsidR="00FF4572">
              <w:rPr>
                <w:noProof/>
                <w:webHidden/>
              </w:rPr>
            </w:r>
            <w:r w:rsidR="00FF4572">
              <w:rPr>
                <w:noProof/>
                <w:webHidden/>
              </w:rPr>
              <w:fldChar w:fldCharType="separate"/>
            </w:r>
            <w:r w:rsidR="00FF4572">
              <w:rPr>
                <w:noProof/>
                <w:webHidden/>
              </w:rPr>
              <w:t>2</w:t>
            </w:r>
            <w:r w:rsidR="00FF4572">
              <w:rPr>
                <w:noProof/>
                <w:webHidden/>
              </w:rPr>
              <w:fldChar w:fldCharType="end"/>
            </w:r>
          </w:hyperlink>
        </w:p>
        <w:p w14:paraId="49FA39DB" w14:textId="6897074B"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60" w:history="1">
            <w:r w:rsidR="00FF4572" w:rsidRPr="00463DD2">
              <w:rPr>
                <w:rStyle w:val="Hyperlink"/>
                <w:b/>
                <w:bCs/>
                <w:noProof/>
              </w:rPr>
              <w:t>D.</w:t>
            </w:r>
            <w:r w:rsidR="00FF4572">
              <w:rPr>
                <w:rFonts w:eastAsiaTheme="minorEastAsia"/>
                <w:noProof/>
                <w:kern w:val="2"/>
                <w:lang w:eastAsia="en-GB"/>
                <w14:ligatures w14:val="standardContextual"/>
              </w:rPr>
              <w:tab/>
            </w:r>
            <w:r w:rsidR="00FF4572" w:rsidRPr="00463DD2">
              <w:rPr>
                <w:rStyle w:val="Hyperlink"/>
                <w:b/>
                <w:bCs/>
                <w:noProof/>
              </w:rPr>
              <w:t>Learning and Continuous Improvement</w:t>
            </w:r>
            <w:r w:rsidR="00FF4572">
              <w:rPr>
                <w:noProof/>
                <w:webHidden/>
              </w:rPr>
              <w:tab/>
            </w:r>
            <w:r w:rsidR="00FF4572">
              <w:rPr>
                <w:noProof/>
                <w:webHidden/>
              </w:rPr>
              <w:fldChar w:fldCharType="begin"/>
            </w:r>
            <w:r w:rsidR="00FF4572">
              <w:rPr>
                <w:noProof/>
                <w:webHidden/>
              </w:rPr>
              <w:instrText xml:space="preserve"> PAGEREF _Toc158223060 \h </w:instrText>
            </w:r>
            <w:r w:rsidR="00FF4572">
              <w:rPr>
                <w:noProof/>
                <w:webHidden/>
              </w:rPr>
            </w:r>
            <w:r w:rsidR="00FF4572">
              <w:rPr>
                <w:noProof/>
                <w:webHidden/>
              </w:rPr>
              <w:fldChar w:fldCharType="separate"/>
            </w:r>
            <w:r w:rsidR="00FF4572">
              <w:rPr>
                <w:noProof/>
                <w:webHidden/>
              </w:rPr>
              <w:t>2</w:t>
            </w:r>
            <w:r w:rsidR="00FF4572">
              <w:rPr>
                <w:noProof/>
                <w:webHidden/>
              </w:rPr>
              <w:fldChar w:fldCharType="end"/>
            </w:r>
          </w:hyperlink>
        </w:p>
        <w:p w14:paraId="1F8A6100" w14:textId="63218277"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61" w:history="1">
            <w:r w:rsidR="00FF4572" w:rsidRPr="00463DD2">
              <w:rPr>
                <w:rStyle w:val="Hyperlink"/>
                <w:b/>
                <w:bCs/>
                <w:noProof/>
              </w:rPr>
              <w:t>E.</w:t>
            </w:r>
            <w:r w:rsidR="00FF4572">
              <w:rPr>
                <w:rFonts w:eastAsiaTheme="minorEastAsia"/>
                <w:noProof/>
                <w:kern w:val="2"/>
                <w:lang w:eastAsia="en-GB"/>
                <w14:ligatures w14:val="standardContextual"/>
              </w:rPr>
              <w:tab/>
            </w:r>
            <w:r w:rsidR="00FF4572" w:rsidRPr="00463DD2">
              <w:rPr>
                <w:rStyle w:val="Hyperlink"/>
                <w:b/>
                <w:bCs/>
                <w:noProof/>
              </w:rPr>
              <w:t>What must be included in statutory advice:</w:t>
            </w:r>
            <w:r w:rsidR="00FF4572">
              <w:rPr>
                <w:noProof/>
                <w:webHidden/>
              </w:rPr>
              <w:tab/>
            </w:r>
            <w:r w:rsidR="00FF4572">
              <w:rPr>
                <w:noProof/>
                <w:webHidden/>
              </w:rPr>
              <w:fldChar w:fldCharType="begin"/>
            </w:r>
            <w:r w:rsidR="00FF4572">
              <w:rPr>
                <w:noProof/>
                <w:webHidden/>
              </w:rPr>
              <w:instrText xml:space="preserve"> PAGEREF _Toc158223061 \h </w:instrText>
            </w:r>
            <w:r w:rsidR="00FF4572">
              <w:rPr>
                <w:noProof/>
                <w:webHidden/>
              </w:rPr>
            </w:r>
            <w:r w:rsidR="00FF4572">
              <w:rPr>
                <w:noProof/>
                <w:webHidden/>
              </w:rPr>
              <w:fldChar w:fldCharType="separate"/>
            </w:r>
            <w:r w:rsidR="00FF4572">
              <w:rPr>
                <w:noProof/>
                <w:webHidden/>
              </w:rPr>
              <w:t>3</w:t>
            </w:r>
            <w:r w:rsidR="00FF4572">
              <w:rPr>
                <w:noProof/>
                <w:webHidden/>
              </w:rPr>
              <w:fldChar w:fldCharType="end"/>
            </w:r>
          </w:hyperlink>
        </w:p>
        <w:p w14:paraId="1AB7F9B2" w14:textId="61E83688"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62" w:history="1">
            <w:r w:rsidR="00FF4572" w:rsidRPr="00463DD2">
              <w:rPr>
                <w:rStyle w:val="Hyperlink"/>
                <w:b/>
                <w:bCs/>
                <w:noProof/>
              </w:rPr>
              <w:t>F.</w:t>
            </w:r>
            <w:r w:rsidR="00FF4572">
              <w:rPr>
                <w:rFonts w:eastAsiaTheme="minorEastAsia"/>
                <w:noProof/>
                <w:kern w:val="2"/>
                <w:lang w:eastAsia="en-GB"/>
                <w14:ligatures w14:val="standardContextual"/>
              </w:rPr>
              <w:tab/>
            </w:r>
            <w:r w:rsidR="00FF4572" w:rsidRPr="00463DD2">
              <w:rPr>
                <w:rStyle w:val="Hyperlink"/>
                <w:b/>
                <w:bCs/>
                <w:noProof/>
              </w:rPr>
              <w:t>What should be avoided in statutory advice</w:t>
            </w:r>
            <w:r w:rsidR="00FF4572">
              <w:rPr>
                <w:noProof/>
                <w:webHidden/>
              </w:rPr>
              <w:tab/>
            </w:r>
            <w:r w:rsidR="00FF4572">
              <w:rPr>
                <w:noProof/>
                <w:webHidden/>
              </w:rPr>
              <w:fldChar w:fldCharType="begin"/>
            </w:r>
            <w:r w:rsidR="00FF4572">
              <w:rPr>
                <w:noProof/>
                <w:webHidden/>
              </w:rPr>
              <w:instrText xml:space="preserve"> PAGEREF _Toc158223062 \h </w:instrText>
            </w:r>
            <w:r w:rsidR="00FF4572">
              <w:rPr>
                <w:noProof/>
                <w:webHidden/>
              </w:rPr>
            </w:r>
            <w:r w:rsidR="00FF4572">
              <w:rPr>
                <w:noProof/>
                <w:webHidden/>
              </w:rPr>
              <w:fldChar w:fldCharType="separate"/>
            </w:r>
            <w:r w:rsidR="00FF4572">
              <w:rPr>
                <w:noProof/>
                <w:webHidden/>
              </w:rPr>
              <w:t>3</w:t>
            </w:r>
            <w:r w:rsidR="00FF4572">
              <w:rPr>
                <w:noProof/>
                <w:webHidden/>
              </w:rPr>
              <w:fldChar w:fldCharType="end"/>
            </w:r>
          </w:hyperlink>
        </w:p>
        <w:p w14:paraId="1EF2DA16" w14:textId="6889D7DE"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63" w:history="1">
            <w:r w:rsidR="00FF4572" w:rsidRPr="00463DD2">
              <w:rPr>
                <w:rStyle w:val="Hyperlink"/>
                <w:b/>
                <w:bCs/>
                <w:noProof/>
              </w:rPr>
              <w:t>G.</w:t>
            </w:r>
            <w:r w:rsidR="00FF4572">
              <w:rPr>
                <w:rFonts w:eastAsiaTheme="minorEastAsia"/>
                <w:noProof/>
                <w:kern w:val="2"/>
                <w:lang w:eastAsia="en-GB"/>
                <w14:ligatures w14:val="standardContextual"/>
              </w:rPr>
              <w:tab/>
            </w:r>
            <w:r w:rsidR="00FF4572" w:rsidRPr="00463DD2">
              <w:rPr>
                <w:rStyle w:val="Hyperlink"/>
                <w:b/>
                <w:bCs/>
                <w:noProof/>
              </w:rPr>
              <w:t>Essex Principles of High-Quality Statutory Advice</w:t>
            </w:r>
            <w:r w:rsidR="00FF4572">
              <w:rPr>
                <w:noProof/>
                <w:webHidden/>
              </w:rPr>
              <w:tab/>
            </w:r>
            <w:r w:rsidR="00FF4572">
              <w:rPr>
                <w:noProof/>
                <w:webHidden/>
              </w:rPr>
              <w:fldChar w:fldCharType="begin"/>
            </w:r>
            <w:r w:rsidR="00FF4572">
              <w:rPr>
                <w:noProof/>
                <w:webHidden/>
              </w:rPr>
              <w:instrText xml:space="preserve"> PAGEREF _Toc158223063 \h </w:instrText>
            </w:r>
            <w:r w:rsidR="00FF4572">
              <w:rPr>
                <w:noProof/>
                <w:webHidden/>
              </w:rPr>
            </w:r>
            <w:r w:rsidR="00FF4572">
              <w:rPr>
                <w:noProof/>
                <w:webHidden/>
              </w:rPr>
              <w:fldChar w:fldCharType="separate"/>
            </w:r>
            <w:r w:rsidR="00FF4572">
              <w:rPr>
                <w:noProof/>
                <w:webHidden/>
              </w:rPr>
              <w:t>3</w:t>
            </w:r>
            <w:r w:rsidR="00FF4572">
              <w:rPr>
                <w:noProof/>
                <w:webHidden/>
              </w:rPr>
              <w:fldChar w:fldCharType="end"/>
            </w:r>
          </w:hyperlink>
        </w:p>
        <w:p w14:paraId="65A54F36" w14:textId="68B01987"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64" w:history="1">
            <w:r w:rsidR="00FF4572" w:rsidRPr="00463DD2">
              <w:rPr>
                <w:rStyle w:val="Hyperlink"/>
                <w:b/>
                <w:bCs/>
                <w:noProof/>
              </w:rPr>
              <w:t>H.</w:t>
            </w:r>
            <w:r w:rsidR="00FF4572">
              <w:rPr>
                <w:rFonts w:eastAsiaTheme="minorEastAsia"/>
                <w:noProof/>
                <w:kern w:val="2"/>
                <w:lang w:eastAsia="en-GB"/>
                <w14:ligatures w14:val="standardContextual"/>
              </w:rPr>
              <w:tab/>
            </w:r>
            <w:r w:rsidR="00FF4572" w:rsidRPr="00463DD2">
              <w:rPr>
                <w:rStyle w:val="Hyperlink"/>
                <w:b/>
                <w:bCs/>
                <w:noProof/>
              </w:rPr>
              <w:t>Advice Writers Templates</w:t>
            </w:r>
            <w:r w:rsidR="00FF4572">
              <w:rPr>
                <w:noProof/>
                <w:webHidden/>
              </w:rPr>
              <w:tab/>
            </w:r>
            <w:r w:rsidR="00FF4572">
              <w:rPr>
                <w:noProof/>
                <w:webHidden/>
              </w:rPr>
              <w:fldChar w:fldCharType="begin"/>
            </w:r>
            <w:r w:rsidR="00FF4572">
              <w:rPr>
                <w:noProof/>
                <w:webHidden/>
              </w:rPr>
              <w:instrText xml:space="preserve"> PAGEREF _Toc158223064 \h </w:instrText>
            </w:r>
            <w:r w:rsidR="00FF4572">
              <w:rPr>
                <w:noProof/>
                <w:webHidden/>
              </w:rPr>
            </w:r>
            <w:r w:rsidR="00FF4572">
              <w:rPr>
                <w:noProof/>
                <w:webHidden/>
              </w:rPr>
              <w:fldChar w:fldCharType="separate"/>
            </w:r>
            <w:r w:rsidR="00FF4572">
              <w:rPr>
                <w:noProof/>
                <w:webHidden/>
              </w:rPr>
              <w:t>5</w:t>
            </w:r>
            <w:r w:rsidR="00FF4572">
              <w:rPr>
                <w:noProof/>
                <w:webHidden/>
              </w:rPr>
              <w:fldChar w:fldCharType="end"/>
            </w:r>
          </w:hyperlink>
        </w:p>
        <w:p w14:paraId="11DCC6ED" w14:textId="35993EC8" w:rsidR="00FF4572" w:rsidRDefault="00000000">
          <w:pPr>
            <w:pStyle w:val="TOC3"/>
            <w:tabs>
              <w:tab w:val="left" w:pos="880"/>
              <w:tab w:val="right" w:leader="dot" w:pos="9016"/>
            </w:tabs>
            <w:rPr>
              <w:rFonts w:eastAsiaTheme="minorEastAsia"/>
              <w:noProof/>
              <w:kern w:val="2"/>
              <w:lang w:eastAsia="en-GB"/>
              <w14:ligatures w14:val="standardContextual"/>
            </w:rPr>
          </w:pPr>
          <w:hyperlink w:anchor="_Toc158223065" w:history="1">
            <w:r w:rsidR="00FF4572" w:rsidRPr="00463DD2">
              <w:rPr>
                <w:rStyle w:val="Hyperlink"/>
                <w:b/>
                <w:bCs/>
                <w:noProof/>
              </w:rPr>
              <w:t>I.</w:t>
            </w:r>
            <w:r w:rsidR="00FF4572">
              <w:rPr>
                <w:rFonts w:eastAsiaTheme="minorEastAsia"/>
                <w:noProof/>
                <w:kern w:val="2"/>
                <w:lang w:eastAsia="en-GB"/>
                <w14:ligatures w14:val="standardContextual"/>
              </w:rPr>
              <w:tab/>
            </w:r>
            <w:r w:rsidR="00FF4572" w:rsidRPr="00463DD2">
              <w:rPr>
                <w:rStyle w:val="Hyperlink"/>
                <w:b/>
                <w:bCs/>
                <w:noProof/>
              </w:rPr>
              <w:t>Quality Assurance Framework</w:t>
            </w:r>
            <w:r w:rsidR="00FF4572">
              <w:rPr>
                <w:noProof/>
                <w:webHidden/>
              </w:rPr>
              <w:tab/>
            </w:r>
            <w:r w:rsidR="00FF4572">
              <w:rPr>
                <w:noProof/>
                <w:webHidden/>
              </w:rPr>
              <w:fldChar w:fldCharType="begin"/>
            </w:r>
            <w:r w:rsidR="00FF4572">
              <w:rPr>
                <w:noProof/>
                <w:webHidden/>
              </w:rPr>
              <w:instrText xml:space="preserve"> PAGEREF _Toc158223065 \h </w:instrText>
            </w:r>
            <w:r w:rsidR="00FF4572">
              <w:rPr>
                <w:noProof/>
                <w:webHidden/>
              </w:rPr>
            </w:r>
            <w:r w:rsidR="00FF4572">
              <w:rPr>
                <w:noProof/>
                <w:webHidden/>
              </w:rPr>
              <w:fldChar w:fldCharType="separate"/>
            </w:r>
            <w:r w:rsidR="00FF4572">
              <w:rPr>
                <w:noProof/>
                <w:webHidden/>
              </w:rPr>
              <w:t>6</w:t>
            </w:r>
            <w:r w:rsidR="00FF4572">
              <w:rPr>
                <w:noProof/>
                <w:webHidden/>
              </w:rPr>
              <w:fldChar w:fldCharType="end"/>
            </w:r>
          </w:hyperlink>
        </w:p>
        <w:p w14:paraId="07D74C9E" w14:textId="5DC832AF" w:rsidR="00D513D8" w:rsidRDefault="00D513D8">
          <w:r>
            <w:rPr>
              <w:b/>
              <w:bCs/>
              <w:noProof/>
            </w:rPr>
            <w:fldChar w:fldCharType="end"/>
          </w:r>
        </w:p>
      </w:sdtContent>
    </w:sdt>
    <w:p w14:paraId="1A9C7DE0" w14:textId="77777777" w:rsidR="00E17BCE" w:rsidRDefault="00E17BCE">
      <w:pPr>
        <w:rPr>
          <w:rFonts w:asciiTheme="majorHAnsi" w:eastAsiaTheme="majorEastAsia" w:hAnsiTheme="majorHAnsi" w:cstheme="majorBidi"/>
          <w:b/>
          <w:bCs/>
          <w:color w:val="1F3763" w:themeColor="accent1" w:themeShade="7F"/>
          <w:sz w:val="28"/>
          <w:szCs w:val="28"/>
        </w:rPr>
      </w:pPr>
      <w:r>
        <w:rPr>
          <w:b/>
          <w:bCs/>
          <w:sz w:val="28"/>
          <w:szCs w:val="28"/>
        </w:rPr>
        <w:br w:type="page"/>
      </w:r>
    </w:p>
    <w:p w14:paraId="216B8224" w14:textId="6CCD49FE" w:rsidR="00BD6D89" w:rsidRDefault="00BD6D89" w:rsidP="00531CF9">
      <w:pPr>
        <w:pStyle w:val="Heading3"/>
        <w:numPr>
          <w:ilvl w:val="0"/>
          <w:numId w:val="8"/>
        </w:numPr>
        <w:rPr>
          <w:b/>
          <w:bCs/>
          <w:sz w:val="28"/>
          <w:szCs w:val="28"/>
        </w:rPr>
      </w:pPr>
      <w:bookmarkStart w:id="6" w:name="_Toc158223057"/>
      <w:r w:rsidRPr="00BD6D89">
        <w:rPr>
          <w:b/>
          <w:bCs/>
          <w:sz w:val="28"/>
          <w:szCs w:val="28"/>
        </w:rPr>
        <w:lastRenderedPageBreak/>
        <w:t>Who is this</w:t>
      </w:r>
      <w:r w:rsidR="00D513D8">
        <w:rPr>
          <w:b/>
          <w:bCs/>
          <w:sz w:val="28"/>
          <w:szCs w:val="28"/>
        </w:rPr>
        <w:t xml:space="preserve"> guidance</w:t>
      </w:r>
      <w:r w:rsidRPr="00BD6D89">
        <w:rPr>
          <w:b/>
          <w:bCs/>
          <w:sz w:val="28"/>
          <w:szCs w:val="28"/>
        </w:rPr>
        <w:t xml:space="preserve"> for:</w:t>
      </w:r>
      <w:bookmarkEnd w:id="6"/>
    </w:p>
    <w:p w14:paraId="1D547D37" w14:textId="276D2D29" w:rsidR="00E44A18" w:rsidRDefault="00E44A18" w:rsidP="00685906">
      <w:pPr>
        <w:ind w:left="360"/>
        <w:jc w:val="both"/>
      </w:pPr>
      <w:r>
        <w:t>This document has been written in collaboration by colleagues across education, health and social care, on behalf of all services in Essex that support children and young people with SEND. It is relevant for all professionals that write statutory advice for Education, Health and Care (EHC) needs assessments in Essex.</w:t>
      </w:r>
    </w:p>
    <w:p w14:paraId="3B1E44FF" w14:textId="4D547A3A" w:rsidR="00E44A18" w:rsidRDefault="00E44A18" w:rsidP="00685906">
      <w:pPr>
        <w:jc w:val="both"/>
      </w:pPr>
    </w:p>
    <w:p w14:paraId="4E4D8979" w14:textId="2EC93DAE" w:rsidR="00BD6D89" w:rsidRDefault="00BD6D89" w:rsidP="00685906">
      <w:pPr>
        <w:pStyle w:val="Heading3"/>
        <w:numPr>
          <w:ilvl w:val="0"/>
          <w:numId w:val="8"/>
        </w:numPr>
        <w:jc w:val="both"/>
        <w:rPr>
          <w:b/>
          <w:bCs/>
          <w:sz w:val="28"/>
          <w:szCs w:val="28"/>
        </w:rPr>
      </w:pPr>
      <w:bookmarkStart w:id="7" w:name="_Toc158223058"/>
      <w:r w:rsidRPr="00BD6D89">
        <w:rPr>
          <w:b/>
          <w:bCs/>
          <w:sz w:val="28"/>
          <w:szCs w:val="28"/>
        </w:rPr>
        <w:t>When should this guidance be used?</w:t>
      </w:r>
      <w:bookmarkEnd w:id="7"/>
    </w:p>
    <w:p w14:paraId="5BA5582E" w14:textId="6A41152F" w:rsidR="00E44A18" w:rsidRDefault="00BD6D89" w:rsidP="00685906">
      <w:pPr>
        <w:ind w:left="360"/>
        <w:jc w:val="both"/>
      </w:pPr>
      <w:r>
        <w:t xml:space="preserve">If you are asked to provide </w:t>
      </w:r>
      <w:r w:rsidR="00021EF3">
        <w:t xml:space="preserve">advice by the SEND Operations team during the EHC needs assessment process. </w:t>
      </w:r>
      <w:r>
        <w:t>This is the assessment process as set out in the Special Educational Needs and Disability Code of Practice 2015</w:t>
      </w:r>
      <w:r w:rsidR="00A86335">
        <w:t xml:space="preserve"> and Children and Families Act 2014</w:t>
      </w:r>
      <w:r>
        <w:t xml:space="preserve">. The assessment determines if a child or young person requires and Education, Health and Care plan (EHCP) to meet their needs. </w:t>
      </w:r>
    </w:p>
    <w:p w14:paraId="0FDE7ECB" w14:textId="77777777" w:rsidR="00E44A18" w:rsidRDefault="00E44A18" w:rsidP="00685906">
      <w:pPr>
        <w:jc w:val="both"/>
      </w:pPr>
    </w:p>
    <w:p w14:paraId="2DE1FFFA" w14:textId="4083B7DB" w:rsidR="00E44A18" w:rsidRDefault="00D513D8" w:rsidP="00685906">
      <w:pPr>
        <w:pStyle w:val="Heading3"/>
        <w:numPr>
          <w:ilvl w:val="0"/>
          <w:numId w:val="8"/>
        </w:numPr>
        <w:jc w:val="both"/>
        <w:rPr>
          <w:b/>
          <w:bCs/>
          <w:sz w:val="28"/>
          <w:szCs w:val="28"/>
        </w:rPr>
      </w:pPr>
      <w:bookmarkStart w:id="8" w:name="_Toc158223059"/>
      <w:r>
        <w:rPr>
          <w:b/>
          <w:bCs/>
          <w:sz w:val="28"/>
          <w:szCs w:val="28"/>
        </w:rPr>
        <w:t>The process and t</w:t>
      </w:r>
      <w:r w:rsidR="00E44A18" w:rsidRPr="00E44A18">
        <w:rPr>
          <w:b/>
          <w:bCs/>
          <w:sz w:val="28"/>
          <w:szCs w:val="28"/>
        </w:rPr>
        <w:t>imescales</w:t>
      </w:r>
      <w:bookmarkEnd w:id="8"/>
    </w:p>
    <w:p w14:paraId="79CA8B0B" w14:textId="3235F263" w:rsidR="00BD6D89" w:rsidRDefault="00E44A18" w:rsidP="00685906">
      <w:pPr>
        <w:ind w:left="360"/>
        <w:jc w:val="both"/>
      </w:pPr>
      <w:r>
        <w:t>Advice writers</w:t>
      </w:r>
      <w:r w:rsidR="00BD6D89">
        <w:t xml:space="preserve"> have 6 weeks from the date of the request to submit </w:t>
      </w:r>
      <w:r>
        <w:t xml:space="preserve">their </w:t>
      </w:r>
      <w:r w:rsidR="00BD6D89">
        <w:t>advice</w:t>
      </w:r>
      <w:r>
        <w:t xml:space="preserve"> to SEND operations.</w:t>
      </w:r>
      <w:r w:rsidR="00E51F6B">
        <w:t xml:space="preserve"> Advice should be provided more quickly wherever possible, to enable a timely process.</w:t>
      </w:r>
    </w:p>
    <w:p w14:paraId="35A9D59F" w14:textId="77777777" w:rsidR="001371A9" w:rsidRDefault="001371A9" w:rsidP="00685906">
      <w:pPr>
        <w:ind w:left="360"/>
        <w:jc w:val="both"/>
      </w:pPr>
    </w:p>
    <w:p w14:paraId="010A8682" w14:textId="382FD667" w:rsidR="00E44A18" w:rsidRDefault="00E44A18" w:rsidP="004F5B73">
      <w:pPr>
        <w:pStyle w:val="Heading3"/>
        <w:numPr>
          <w:ilvl w:val="0"/>
          <w:numId w:val="8"/>
        </w:numPr>
        <w:rPr>
          <w:b/>
          <w:bCs/>
          <w:sz w:val="28"/>
          <w:szCs w:val="28"/>
        </w:rPr>
      </w:pPr>
      <w:bookmarkStart w:id="9" w:name="_Toc158223060"/>
      <w:r w:rsidRPr="00E44A18">
        <w:rPr>
          <w:b/>
          <w:bCs/>
          <w:sz w:val="28"/>
          <w:szCs w:val="28"/>
        </w:rPr>
        <w:t xml:space="preserve">Learning </w:t>
      </w:r>
      <w:r>
        <w:rPr>
          <w:b/>
          <w:bCs/>
          <w:sz w:val="28"/>
          <w:szCs w:val="28"/>
        </w:rPr>
        <w:t>and Continuous Improvement</w:t>
      </w:r>
      <w:bookmarkEnd w:id="9"/>
    </w:p>
    <w:p w14:paraId="2F97A245" w14:textId="05B570DA" w:rsidR="00E44A18" w:rsidRPr="00E44A18" w:rsidRDefault="00E44A18" w:rsidP="001371A9">
      <w:pPr>
        <w:ind w:left="360"/>
        <w:jc w:val="both"/>
      </w:pPr>
      <w:r>
        <w:t>The learning that informs this guidance comes from:</w:t>
      </w:r>
    </w:p>
    <w:p w14:paraId="6CC3B7D9" w14:textId="5ABE95F8" w:rsidR="00E44A18" w:rsidRPr="00E44A18" w:rsidRDefault="00E44A18" w:rsidP="001371A9">
      <w:pPr>
        <w:pStyle w:val="Heading4"/>
        <w:ind w:left="426"/>
        <w:jc w:val="both"/>
        <w:rPr>
          <w:i w:val="0"/>
          <w:iCs w:val="0"/>
        </w:rPr>
      </w:pPr>
      <w:r w:rsidRPr="00E44A18">
        <w:rPr>
          <w:i w:val="0"/>
          <w:iCs w:val="0"/>
        </w:rPr>
        <w:t>Quality Assurance</w:t>
      </w:r>
      <w:r>
        <w:rPr>
          <w:i w:val="0"/>
          <w:iCs w:val="0"/>
        </w:rPr>
        <w:t xml:space="preserve"> of EHCPs</w:t>
      </w:r>
    </w:p>
    <w:p w14:paraId="0646DF0C" w14:textId="243EBC7A" w:rsidR="00E44A18" w:rsidRDefault="00E44A18" w:rsidP="001371A9">
      <w:pPr>
        <w:ind w:left="426"/>
        <w:jc w:val="both"/>
      </w:pPr>
      <w:r>
        <w:t>Quality assurance of EHCPs and the advice that informs them is undertaken on a routine, ongoing basis. The learning from the quadrant and countywide quality assurance practices is captured and shared three times a year</w:t>
      </w:r>
      <w:r w:rsidR="00685906">
        <w:t xml:space="preserve"> via Learning from QA sessions and a written report by the SEND Strategy &amp; Innovation team. </w:t>
      </w:r>
    </w:p>
    <w:p w14:paraId="286EB2C7" w14:textId="4B68BDE2" w:rsidR="00E44A18" w:rsidRPr="00E44A18" w:rsidRDefault="00E44A18" w:rsidP="001371A9">
      <w:pPr>
        <w:pStyle w:val="Heading4"/>
        <w:ind w:left="426"/>
        <w:jc w:val="both"/>
        <w:rPr>
          <w:i w:val="0"/>
          <w:iCs w:val="0"/>
        </w:rPr>
      </w:pPr>
      <w:r w:rsidRPr="00E44A18">
        <w:rPr>
          <w:i w:val="0"/>
          <w:iCs w:val="0"/>
        </w:rPr>
        <w:t>Co-ordination and Oversight Groups (COGs)</w:t>
      </w:r>
    </w:p>
    <w:p w14:paraId="0C497420" w14:textId="117ACD50" w:rsidR="00E44A18" w:rsidRDefault="00E44A18" w:rsidP="001371A9">
      <w:pPr>
        <w:ind w:left="426"/>
        <w:jc w:val="both"/>
      </w:pPr>
      <w:r>
        <w:t xml:space="preserve">In Essex, our SEND improvement work is undertaken through a series of Co-ordination and Oversight Groups (COGs) and specific task and finish groups. These groups have specific focus areas (e.g. Quality of Plans, Annual Reviews, </w:t>
      </w:r>
      <w:r w:rsidR="00273669">
        <w:t>Preparing for Adulthood</w:t>
      </w:r>
      <w:r>
        <w:t xml:space="preserve">). These groups are attended by health, social care, education and family representatives. Learning from these groups is fed back into individual service areas to improve practice by their area representative. </w:t>
      </w:r>
    </w:p>
    <w:p w14:paraId="64E39B82" w14:textId="016589EF" w:rsidR="00E44A18" w:rsidRDefault="00273669" w:rsidP="001371A9">
      <w:pPr>
        <w:pStyle w:val="Heading4"/>
        <w:ind w:left="426"/>
        <w:jc w:val="both"/>
        <w:rPr>
          <w:i w:val="0"/>
          <w:iCs w:val="0"/>
        </w:rPr>
      </w:pPr>
      <w:r>
        <w:rPr>
          <w:i w:val="0"/>
          <w:iCs w:val="0"/>
        </w:rPr>
        <w:t>Family Feedback</w:t>
      </w:r>
    </w:p>
    <w:p w14:paraId="6F41CC30" w14:textId="3CDD9666" w:rsidR="00E44A18" w:rsidRPr="00E44A18" w:rsidRDefault="00E44A18" w:rsidP="001371A9">
      <w:pPr>
        <w:ind w:left="426"/>
        <w:jc w:val="both"/>
      </w:pPr>
      <w:r>
        <w:t>The Essex Family Forum</w:t>
      </w:r>
      <w:r w:rsidR="00273669">
        <w:t xml:space="preserve"> (EFF)</w:t>
      </w:r>
      <w:r>
        <w:t xml:space="preserve"> are the Parent Carer Forum in Essex that represent the views and experiences of the families of children and young people with SEND in Essex. The </w:t>
      </w:r>
      <w:r w:rsidR="00273669">
        <w:t xml:space="preserve">EFF have a variety of channels to capture feedback from families, such as a virtual Graffiti Wall and online Family Impact Survey. Quadrant SEND teams also capture families’ views on their experience throughout the EHCNA process. The POET survey, run by </w:t>
      </w:r>
      <w:r w:rsidR="00273669" w:rsidRPr="00273669">
        <w:t xml:space="preserve">the SEND Inclusion and Participation Team </w:t>
      </w:r>
      <w:r w:rsidR="00273669">
        <w:t xml:space="preserve">captures the views of young people directly. The learning from family feedback is incorporated into this guidance. </w:t>
      </w:r>
    </w:p>
    <w:p w14:paraId="5BE42E3E" w14:textId="42E3ADAF" w:rsidR="00E44A18" w:rsidRPr="00E44A18" w:rsidRDefault="00E44A18" w:rsidP="001371A9">
      <w:pPr>
        <w:pStyle w:val="Heading4"/>
        <w:ind w:left="426"/>
        <w:jc w:val="both"/>
        <w:rPr>
          <w:i w:val="0"/>
          <w:iCs w:val="0"/>
        </w:rPr>
      </w:pPr>
      <w:r w:rsidRPr="00E44A18">
        <w:rPr>
          <w:i w:val="0"/>
          <w:iCs w:val="0"/>
        </w:rPr>
        <w:t>Lead SENCOs</w:t>
      </w:r>
    </w:p>
    <w:p w14:paraId="338AF7A7" w14:textId="28A4BDF2" w:rsidR="00E44A18" w:rsidRDefault="00273669" w:rsidP="001371A9">
      <w:pPr>
        <w:ind w:left="426"/>
        <w:jc w:val="both"/>
      </w:pPr>
      <w:r>
        <w:t>A group of experienced SENCOs that regularly contribute to improvements in the wider SEND system, processes and practices on-top of their in-school role. Learning from Lead SENCOs has fed into this guidance document, particularly around advice</w:t>
      </w:r>
      <w:r w:rsidR="00990D5D">
        <w:t xml:space="preserve"> that contributes to</w:t>
      </w:r>
      <w:r>
        <w:t xml:space="preserve"> </w:t>
      </w:r>
      <w:r w:rsidR="00990D5D">
        <w:t>the quality</w:t>
      </w:r>
      <w:r>
        <w:t xml:space="preserve"> and implementation of EHCPs. </w:t>
      </w:r>
    </w:p>
    <w:p w14:paraId="5317C33B" w14:textId="1A69146E" w:rsidR="00685906" w:rsidRPr="00685906" w:rsidRDefault="00685906" w:rsidP="001371A9">
      <w:pPr>
        <w:pStyle w:val="Heading4"/>
        <w:ind w:left="426"/>
        <w:jc w:val="both"/>
        <w:rPr>
          <w:i w:val="0"/>
          <w:iCs w:val="0"/>
        </w:rPr>
      </w:pPr>
      <w:r w:rsidRPr="00685906">
        <w:rPr>
          <w:i w:val="0"/>
          <w:iCs w:val="0"/>
        </w:rPr>
        <w:t>Individual Service Areas</w:t>
      </w:r>
    </w:p>
    <w:p w14:paraId="4C41796E" w14:textId="02652C7B" w:rsidR="00685906" w:rsidRDefault="00685906" w:rsidP="001371A9">
      <w:pPr>
        <w:ind w:left="426"/>
        <w:jc w:val="both"/>
      </w:pPr>
      <w:r>
        <w:t xml:space="preserve">Health, Social Care and Education teams have provided feedback on the content of this guidance, based on their experience of the EHCNA process in Essex. </w:t>
      </w:r>
    </w:p>
    <w:p w14:paraId="7D5C656A" w14:textId="5CABA17F" w:rsidR="00685906" w:rsidRDefault="00685906" w:rsidP="00E44A18"/>
    <w:p w14:paraId="420B5697" w14:textId="77777777" w:rsidR="00D513D8" w:rsidRPr="00D513D8" w:rsidRDefault="00D513D8" w:rsidP="00531CF9">
      <w:pPr>
        <w:pStyle w:val="Heading3"/>
        <w:numPr>
          <w:ilvl w:val="0"/>
          <w:numId w:val="8"/>
        </w:numPr>
        <w:rPr>
          <w:b/>
          <w:bCs/>
          <w:sz w:val="28"/>
          <w:szCs w:val="28"/>
        </w:rPr>
      </w:pPr>
      <w:bookmarkStart w:id="10" w:name="_Toc158223061"/>
      <w:r w:rsidRPr="00D513D8">
        <w:rPr>
          <w:b/>
          <w:bCs/>
          <w:sz w:val="28"/>
          <w:szCs w:val="28"/>
        </w:rPr>
        <w:t>What must be included in statutory advice:</w:t>
      </w:r>
      <w:bookmarkEnd w:id="10"/>
    </w:p>
    <w:p w14:paraId="205181E8" w14:textId="33F8E158" w:rsidR="00D513D8" w:rsidRDefault="00D513D8" w:rsidP="00685906">
      <w:pPr>
        <w:jc w:val="both"/>
      </w:pPr>
      <w:r>
        <w:t>Advice must set out:</w:t>
      </w:r>
    </w:p>
    <w:p w14:paraId="71F1555B" w14:textId="77777777" w:rsidR="00D513D8" w:rsidRDefault="00D513D8" w:rsidP="00685906">
      <w:pPr>
        <w:pStyle w:val="ListParagraph"/>
        <w:numPr>
          <w:ilvl w:val="0"/>
          <w:numId w:val="2"/>
        </w:numPr>
        <w:jc w:val="both"/>
      </w:pPr>
      <w:r>
        <w:rPr>
          <w:b/>
          <w:bCs/>
        </w:rPr>
        <w:t>N</w:t>
      </w:r>
      <w:r w:rsidRPr="00D513D8">
        <w:rPr>
          <w:b/>
          <w:bCs/>
        </w:rPr>
        <w:t>eeds of the child or young person</w:t>
      </w:r>
      <w:r>
        <w:t xml:space="preserve"> </w:t>
      </w:r>
    </w:p>
    <w:p w14:paraId="5264671D" w14:textId="77777777" w:rsidR="00D513D8" w:rsidRPr="00A330BC" w:rsidRDefault="00D513D8" w:rsidP="00685906">
      <w:pPr>
        <w:pStyle w:val="ListParagraph"/>
        <w:jc w:val="both"/>
      </w:pPr>
      <w:r w:rsidRPr="00A330BC">
        <w:t>Within the specific area of expertise of the advice writer e.g. speech and language, occupational therapy, educational psychology, social care</w:t>
      </w:r>
    </w:p>
    <w:p w14:paraId="70D4A277" w14:textId="77777777" w:rsidR="00D513D8" w:rsidRPr="00D513D8" w:rsidRDefault="00D513D8" w:rsidP="00685906">
      <w:pPr>
        <w:pStyle w:val="ListParagraph"/>
        <w:jc w:val="both"/>
        <w:rPr>
          <w:i/>
          <w:iCs/>
        </w:rPr>
      </w:pPr>
    </w:p>
    <w:p w14:paraId="485D89B5" w14:textId="77777777" w:rsidR="00B745C4" w:rsidRPr="00685906" w:rsidRDefault="00B745C4" w:rsidP="00B745C4">
      <w:pPr>
        <w:pStyle w:val="ListParagraph"/>
        <w:numPr>
          <w:ilvl w:val="0"/>
          <w:numId w:val="2"/>
        </w:numPr>
        <w:jc w:val="both"/>
        <w:rPr>
          <w:i/>
          <w:iCs/>
        </w:rPr>
      </w:pPr>
      <w:r w:rsidRPr="00685906">
        <w:rPr>
          <w:b/>
          <w:bCs/>
        </w:rPr>
        <w:t>Advice on outcomes</w:t>
      </w:r>
      <w:r>
        <w:t xml:space="preserve"> </w:t>
      </w:r>
      <w:r w:rsidRPr="00685906">
        <w:rPr>
          <w:b/>
          <w:bCs/>
        </w:rPr>
        <w:t>intended to be achieved by the child or young person receiving that provision.</w:t>
      </w:r>
    </w:p>
    <w:p w14:paraId="4778AEA2" w14:textId="7BD05A6F" w:rsidR="00B745C4" w:rsidRPr="00A330BC" w:rsidRDefault="00B745C4" w:rsidP="00B745C4">
      <w:pPr>
        <w:pStyle w:val="ListParagraph"/>
        <w:jc w:val="both"/>
      </w:pPr>
      <w:r w:rsidRPr="00A330BC">
        <w:t>Whilst the outcomes and provision will be agreed in consultation with the other professionals involved, family and the child/young person, the advice writer should include advice on what the outcomes will relate to.</w:t>
      </w:r>
    </w:p>
    <w:p w14:paraId="032A4F83" w14:textId="77777777" w:rsidR="00B745C4" w:rsidRDefault="00B745C4" w:rsidP="00B745C4">
      <w:pPr>
        <w:pStyle w:val="ListParagraph"/>
        <w:jc w:val="both"/>
        <w:rPr>
          <w:i/>
          <w:iCs/>
        </w:rPr>
      </w:pPr>
    </w:p>
    <w:p w14:paraId="2869B4C1" w14:textId="77777777" w:rsidR="00D513D8" w:rsidRDefault="00D513D8" w:rsidP="00685906">
      <w:pPr>
        <w:pStyle w:val="ListParagraph"/>
        <w:numPr>
          <w:ilvl w:val="0"/>
          <w:numId w:val="2"/>
        </w:numPr>
        <w:jc w:val="both"/>
      </w:pPr>
      <w:r>
        <w:rPr>
          <w:b/>
          <w:bCs/>
        </w:rPr>
        <w:t>P</w:t>
      </w:r>
      <w:r w:rsidRPr="00D513D8">
        <w:rPr>
          <w:b/>
          <w:bCs/>
        </w:rPr>
        <w:t>rovision required to meet these needs</w:t>
      </w:r>
      <w:r>
        <w:t xml:space="preserve"> </w:t>
      </w:r>
    </w:p>
    <w:p w14:paraId="7A481DF6" w14:textId="38923EBF" w:rsidR="00D513D8" w:rsidRPr="00A330BC" w:rsidRDefault="00D513D8" w:rsidP="00685906">
      <w:pPr>
        <w:pStyle w:val="ListParagraph"/>
        <w:jc w:val="both"/>
      </w:pPr>
      <w:r w:rsidRPr="00A330BC">
        <w:t xml:space="preserve">This can include direct and indirect provision and recommendations, but the advice </w:t>
      </w:r>
      <w:r w:rsidRPr="00A330BC">
        <w:rPr>
          <w:b/>
          <w:bCs/>
        </w:rPr>
        <w:t xml:space="preserve">must </w:t>
      </w:r>
      <w:r w:rsidRPr="00A330BC">
        <w:t xml:space="preserve">make clear which are </w:t>
      </w:r>
      <w:r w:rsidR="002E431B" w:rsidRPr="00A330BC">
        <w:t>necessary,</w:t>
      </w:r>
      <w:r w:rsidRPr="00A330BC">
        <w:t xml:space="preserve"> and which are additional recommendations. The recommendations will not be included in a final EHCP, </w:t>
      </w:r>
      <w:r w:rsidR="002E431B" w:rsidRPr="00A330BC">
        <w:t xml:space="preserve">but advice will be appended. </w:t>
      </w:r>
    </w:p>
    <w:p w14:paraId="3BB25C01" w14:textId="77777777" w:rsidR="00D513D8" w:rsidRPr="00D513D8" w:rsidRDefault="00D513D8" w:rsidP="00685906">
      <w:pPr>
        <w:pStyle w:val="ListParagraph"/>
        <w:jc w:val="both"/>
        <w:rPr>
          <w:i/>
          <w:iCs/>
        </w:rPr>
      </w:pPr>
    </w:p>
    <w:p w14:paraId="6A954C5E" w14:textId="77777777" w:rsidR="00685906" w:rsidRPr="00685906" w:rsidRDefault="00685906" w:rsidP="00685906">
      <w:pPr>
        <w:pStyle w:val="ListParagraph"/>
        <w:jc w:val="both"/>
        <w:rPr>
          <w:i/>
          <w:iCs/>
        </w:rPr>
      </w:pPr>
    </w:p>
    <w:p w14:paraId="4F80CB45" w14:textId="6809DA59" w:rsidR="00D513D8" w:rsidRDefault="00D513D8" w:rsidP="00685906">
      <w:pPr>
        <w:pStyle w:val="Heading3"/>
        <w:numPr>
          <w:ilvl w:val="0"/>
          <w:numId w:val="8"/>
        </w:numPr>
        <w:jc w:val="both"/>
        <w:rPr>
          <w:b/>
          <w:bCs/>
          <w:sz w:val="28"/>
          <w:szCs w:val="28"/>
        </w:rPr>
      </w:pPr>
      <w:bookmarkStart w:id="11" w:name="_Toc158223062"/>
      <w:r w:rsidRPr="00D513D8">
        <w:rPr>
          <w:b/>
          <w:bCs/>
          <w:sz w:val="28"/>
          <w:szCs w:val="28"/>
        </w:rPr>
        <w:t xml:space="preserve">What </w:t>
      </w:r>
      <w:r>
        <w:rPr>
          <w:b/>
          <w:bCs/>
          <w:sz w:val="28"/>
          <w:szCs w:val="28"/>
        </w:rPr>
        <w:t>should be avoided</w:t>
      </w:r>
      <w:r w:rsidRPr="00D513D8">
        <w:rPr>
          <w:b/>
          <w:bCs/>
          <w:sz w:val="28"/>
          <w:szCs w:val="28"/>
        </w:rPr>
        <w:t xml:space="preserve"> in statutory advice</w:t>
      </w:r>
      <w:bookmarkEnd w:id="11"/>
    </w:p>
    <w:p w14:paraId="40CC1823" w14:textId="540824DD" w:rsidR="00531CF9" w:rsidRPr="00531CF9" w:rsidRDefault="00685906" w:rsidP="00685906">
      <w:pPr>
        <w:pStyle w:val="ListParagraph"/>
        <w:numPr>
          <w:ilvl w:val="0"/>
          <w:numId w:val="7"/>
        </w:numPr>
        <w:jc w:val="both"/>
      </w:pPr>
      <w:r>
        <w:t>Advice should not include n</w:t>
      </w:r>
      <w:r w:rsidR="002A52CF">
        <w:t xml:space="preserve">on-specific language regarding provision: </w:t>
      </w:r>
      <w:r w:rsidR="002A52CF" w:rsidRPr="002A52CF">
        <w:rPr>
          <w:i/>
          <w:iCs/>
        </w:rPr>
        <w:t>‘as appropriate’, ‘as required’, ‘regular’, ‘periodic’ and ‘subject to review’</w:t>
      </w:r>
      <w:r w:rsidR="0041440A">
        <w:rPr>
          <w:i/>
          <w:iCs/>
        </w:rPr>
        <w:t>,</w:t>
      </w:r>
      <w:r>
        <w:rPr>
          <w:i/>
          <w:iCs/>
        </w:rPr>
        <w:t xml:space="preserve"> ‘beneficial if’</w:t>
      </w:r>
    </w:p>
    <w:p w14:paraId="056F891C" w14:textId="58044B7E" w:rsidR="00531CF9" w:rsidRDefault="00531CF9" w:rsidP="00685906">
      <w:pPr>
        <w:pStyle w:val="ListParagraph"/>
        <w:numPr>
          <w:ilvl w:val="0"/>
          <w:numId w:val="7"/>
        </w:numPr>
        <w:jc w:val="both"/>
      </w:pPr>
      <w:r>
        <w:t xml:space="preserve">Advice should not name specific educational settings or commit the LA to a particular type of setting (e.g. special school). The most appropriate placement will be informed by all of the advice received and family preference. </w:t>
      </w:r>
    </w:p>
    <w:p w14:paraId="37D1154A" w14:textId="1F841C53" w:rsidR="00356844" w:rsidRDefault="00356844" w:rsidP="00685906">
      <w:pPr>
        <w:pStyle w:val="ListParagraph"/>
        <w:numPr>
          <w:ilvl w:val="0"/>
          <w:numId w:val="7"/>
        </w:numPr>
        <w:jc w:val="both"/>
      </w:pPr>
      <w:r>
        <w:t>A long list of outcomes. That are too general or too wordy.</w:t>
      </w:r>
    </w:p>
    <w:p w14:paraId="2A3F6E47" w14:textId="4C8BBD96" w:rsidR="00685906" w:rsidRDefault="00685906" w:rsidP="00685906">
      <w:pPr>
        <w:pStyle w:val="ListParagraph"/>
        <w:numPr>
          <w:ilvl w:val="0"/>
          <w:numId w:val="7"/>
        </w:numPr>
        <w:jc w:val="both"/>
      </w:pPr>
      <w:r>
        <w:t xml:space="preserve">Provision written in a way that would take </w:t>
      </w:r>
      <w:r w:rsidRPr="00685906">
        <w:t xml:space="preserve">substantial extra work </w:t>
      </w:r>
      <w:r>
        <w:t xml:space="preserve">for an educational setting </w:t>
      </w:r>
      <w:r w:rsidRPr="00685906">
        <w:t>to interpret</w:t>
      </w:r>
      <w:r>
        <w:t>, should be avoided.</w:t>
      </w:r>
    </w:p>
    <w:p w14:paraId="0C82B01C" w14:textId="18E8BF89" w:rsidR="00E17BCE" w:rsidRDefault="00E17BCE" w:rsidP="00685906">
      <w:pPr>
        <w:pStyle w:val="ListParagraph"/>
        <w:numPr>
          <w:ilvl w:val="0"/>
          <w:numId w:val="7"/>
        </w:numPr>
        <w:jc w:val="both"/>
      </w:pPr>
      <w:r>
        <w:t>Advice should not recommend specific actions or processes outside of the writer’s professional area of expertise (e.g. health diagnosis, educational provision).</w:t>
      </w:r>
    </w:p>
    <w:p w14:paraId="195103B7" w14:textId="77777777" w:rsidR="00531CF9" w:rsidRPr="00531CF9" w:rsidRDefault="00531CF9" w:rsidP="00685906">
      <w:pPr>
        <w:pStyle w:val="ListParagraph"/>
        <w:ind w:left="1080"/>
        <w:jc w:val="both"/>
      </w:pPr>
    </w:p>
    <w:p w14:paraId="07787B96" w14:textId="42DFE9D2" w:rsidR="00E51F6B" w:rsidRDefault="00531CF9" w:rsidP="00685906">
      <w:pPr>
        <w:pStyle w:val="Heading3"/>
        <w:numPr>
          <w:ilvl w:val="0"/>
          <w:numId w:val="8"/>
        </w:numPr>
        <w:jc w:val="both"/>
        <w:rPr>
          <w:b/>
          <w:bCs/>
          <w:sz w:val="28"/>
          <w:szCs w:val="28"/>
        </w:rPr>
      </w:pPr>
      <w:bookmarkStart w:id="12" w:name="_Toc158223063"/>
      <w:r>
        <w:rPr>
          <w:b/>
          <w:bCs/>
          <w:sz w:val="28"/>
          <w:szCs w:val="28"/>
        </w:rPr>
        <w:t xml:space="preserve">Essex </w:t>
      </w:r>
      <w:r w:rsidR="00E51F6B" w:rsidRPr="00D513D8">
        <w:rPr>
          <w:b/>
          <w:bCs/>
          <w:sz w:val="28"/>
          <w:szCs w:val="28"/>
        </w:rPr>
        <w:t xml:space="preserve">Principles of </w:t>
      </w:r>
      <w:r w:rsidR="004F5B73">
        <w:rPr>
          <w:b/>
          <w:bCs/>
          <w:sz w:val="28"/>
          <w:szCs w:val="28"/>
        </w:rPr>
        <w:t>High-Quality</w:t>
      </w:r>
      <w:r w:rsidR="00E51F6B" w:rsidRPr="00D513D8">
        <w:rPr>
          <w:b/>
          <w:bCs/>
          <w:sz w:val="28"/>
          <w:szCs w:val="28"/>
        </w:rPr>
        <w:t xml:space="preserve"> Statutory Advice</w:t>
      </w:r>
      <w:bookmarkEnd w:id="12"/>
    </w:p>
    <w:p w14:paraId="68DD1047" w14:textId="03C6731A" w:rsidR="004F5B73" w:rsidRDefault="004F5B73" w:rsidP="00685906">
      <w:pPr>
        <w:ind w:left="360"/>
        <w:jc w:val="both"/>
      </w:pPr>
      <w:r>
        <w:t>Children, young people and families should experience well co-ordinated assessment and planning leading to timely, well informed decisions.</w:t>
      </w:r>
    </w:p>
    <w:p w14:paraId="3D36DC10" w14:textId="3B67E63B" w:rsidR="002E431B" w:rsidRDefault="002E431B" w:rsidP="00685906">
      <w:pPr>
        <w:ind w:left="360"/>
        <w:jc w:val="both"/>
      </w:pPr>
      <w:r>
        <w:rPr>
          <w:noProof/>
        </w:rPr>
        <w:drawing>
          <wp:anchor distT="0" distB="0" distL="114300" distR="114300" simplePos="0" relativeHeight="251658240" behindDoc="0" locked="0" layoutInCell="1" allowOverlap="1" wp14:anchorId="06A5E83C" wp14:editId="22EBBCBA">
            <wp:simplePos x="0" y="0"/>
            <wp:positionH relativeFrom="margin">
              <wp:posOffset>-386080</wp:posOffset>
            </wp:positionH>
            <wp:positionV relativeFrom="paragraph">
              <wp:posOffset>1282065</wp:posOffset>
            </wp:positionV>
            <wp:extent cx="6165310" cy="718668"/>
            <wp:effectExtent l="0" t="0" r="0" b="571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5310" cy="718668"/>
                    </a:xfrm>
                    <a:prstGeom prst="rect">
                      <a:avLst/>
                    </a:prstGeom>
                    <a:noFill/>
                  </pic:spPr>
                </pic:pic>
              </a:graphicData>
            </a:graphic>
            <wp14:sizeRelH relativeFrom="page">
              <wp14:pctWidth>0</wp14:pctWidth>
            </wp14:sizeRelH>
            <wp14:sizeRelV relativeFrom="page">
              <wp14:pctHeight>0</wp14:pctHeight>
            </wp14:sizeRelV>
          </wp:anchor>
        </w:drawing>
      </w:r>
      <w:r w:rsidR="00531CF9">
        <w:t>The</w:t>
      </w:r>
      <w:r w:rsidR="004F5B73">
        <w:t xml:space="preserve"> Essex Principles of High-Quality Statutory Advice </w:t>
      </w:r>
      <w:r w:rsidR="00531CF9">
        <w:t xml:space="preserve">have been informed by the learning gathered through the forums set out in section D. Further information can be accessed through the termly Learning from Quality Assurance sessions, the Quality of EHC Plans COG, or your service area’s </w:t>
      </w:r>
      <w:r>
        <w:t>specific</w:t>
      </w:r>
      <w:r w:rsidR="00531CF9">
        <w:t xml:space="preserve"> advice templates.</w:t>
      </w:r>
    </w:p>
    <w:p w14:paraId="1B38BD55" w14:textId="77777777" w:rsidR="00DC23E5" w:rsidRDefault="00DC23E5" w:rsidP="00685906">
      <w:pPr>
        <w:ind w:left="360"/>
        <w:jc w:val="bot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21"/>
        <w:gridCol w:w="6105"/>
      </w:tblGrid>
      <w:tr w:rsidR="002E431B" w14:paraId="43B08204" w14:textId="77777777" w:rsidTr="00685906">
        <w:tc>
          <w:tcPr>
            <w:tcW w:w="2552" w:type="dxa"/>
            <w:vAlign w:val="center"/>
          </w:tcPr>
          <w:p w14:paraId="7FB9B1DD" w14:textId="1359006D" w:rsidR="00356844" w:rsidRDefault="00531CF9" w:rsidP="00CE1E71">
            <w:pPr>
              <w:pStyle w:val="Heading4"/>
              <w:widowControl w:val="0"/>
            </w:pPr>
            <w:r>
              <w:lastRenderedPageBreak/>
              <w:t xml:space="preserve">.  </w:t>
            </w:r>
            <w:r w:rsidR="002E431B">
              <w:rPr>
                <w:noProof/>
              </w:rPr>
              <w:drawing>
                <wp:inline distT="0" distB="0" distL="0" distR="0" wp14:anchorId="67D1378B" wp14:editId="6666175D">
                  <wp:extent cx="1624644" cy="84772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852" cy="849921"/>
                          </a:xfrm>
                          <a:prstGeom prst="rect">
                            <a:avLst/>
                          </a:prstGeom>
                          <a:noFill/>
                        </pic:spPr>
                      </pic:pic>
                    </a:graphicData>
                  </a:graphic>
                </wp:inline>
              </w:drawing>
            </w:r>
          </w:p>
        </w:tc>
        <w:tc>
          <w:tcPr>
            <w:tcW w:w="6474" w:type="dxa"/>
          </w:tcPr>
          <w:p w14:paraId="5B5DF2A6" w14:textId="77777777" w:rsidR="00356844" w:rsidRDefault="00356844" w:rsidP="00CE1E71">
            <w:pPr>
              <w:pStyle w:val="ListParagraph"/>
              <w:widowControl w:val="0"/>
              <w:numPr>
                <w:ilvl w:val="0"/>
                <w:numId w:val="9"/>
              </w:numPr>
            </w:pPr>
            <w:r>
              <w:rPr>
                <w:rStyle w:val="ui-provider"/>
              </w:rPr>
              <w:t>Clear, concise language, without</w:t>
            </w:r>
            <w:r>
              <w:t xml:space="preserve"> using jargon. </w:t>
            </w:r>
          </w:p>
          <w:p w14:paraId="0ACBD700" w14:textId="4FD8FEF4" w:rsidR="00B745C4" w:rsidRDefault="00B745C4" w:rsidP="00CE1E71">
            <w:pPr>
              <w:pStyle w:val="ListParagraph"/>
              <w:widowControl w:val="0"/>
              <w:numPr>
                <w:ilvl w:val="0"/>
                <w:numId w:val="9"/>
              </w:numPr>
            </w:pPr>
            <w:r>
              <w:t xml:space="preserve">No acronyms or abbreviations. </w:t>
            </w:r>
          </w:p>
          <w:p w14:paraId="145B9F92" w14:textId="18DA53C1" w:rsidR="00356844" w:rsidRDefault="00356844" w:rsidP="00CE1E71">
            <w:pPr>
              <w:pStyle w:val="ListParagraph"/>
              <w:widowControl w:val="0"/>
              <w:numPr>
                <w:ilvl w:val="0"/>
                <w:numId w:val="9"/>
              </w:numPr>
            </w:pPr>
            <w:r>
              <w:t>If a technical term (such as a diagnosis or psychological terminology) is necessary, the advice writer must be clear on the impact for the child/ young person and provide an explanation or definition of the term (using brackets).</w:t>
            </w:r>
          </w:p>
          <w:p w14:paraId="36B3BE58" w14:textId="77777777" w:rsidR="00BB6F0A" w:rsidRDefault="00BB6F0A" w:rsidP="00CE1E71">
            <w:pPr>
              <w:pStyle w:val="ListParagraph"/>
              <w:widowControl w:val="0"/>
              <w:numPr>
                <w:ilvl w:val="0"/>
                <w:numId w:val="9"/>
              </w:numPr>
            </w:pPr>
            <w:r>
              <w:t>A ‘golden thread’ links all elements including aspirations, outcomes, needs and provision</w:t>
            </w:r>
          </w:p>
          <w:p w14:paraId="11E97169" w14:textId="77777777" w:rsidR="00356844" w:rsidRDefault="00356844" w:rsidP="00CE1E71">
            <w:pPr>
              <w:widowControl w:val="0"/>
            </w:pPr>
          </w:p>
        </w:tc>
      </w:tr>
      <w:tr w:rsidR="002E431B" w14:paraId="61ACDEA8" w14:textId="77777777" w:rsidTr="00685906">
        <w:tc>
          <w:tcPr>
            <w:tcW w:w="2552" w:type="dxa"/>
            <w:vAlign w:val="center"/>
          </w:tcPr>
          <w:p w14:paraId="019DC473" w14:textId="410FCFA4" w:rsidR="002E431B" w:rsidRDefault="002E431B" w:rsidP="00CE1E71">
            <w:pPr>
              <w:pStyle w:val="Heading4"/>
              <w:widowControl w:val="0"/>
              <w:jc w:val="center"/>
              <w:rPr>
                <w:noProof/>
              </w:rPr>
            </w:pPr>
            <w:r>
              <w:rPr>
                <w:noProof/>
              </w:rPr>
              <w:drawing>
                <wp:inline distT="0" distB="0" distL="0" distR="0" wp14:anchorId="357F96C1" wp14:editId="452476BB">
                  <wp:extent cx="1718241" cy="826135"/>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136" cy="840509"/>
                          </a:xfrm>
                          <a:prstGeom prst="rect">
                            <a:avLst/>
                          </a:prstGeom>
                          <a:noFill/>
                        </pic:spPr>
                      </pic:pic>
                    </a:graphicData>
                  </a:graphic>
                </wp:inline>
              </w:drawing>
            </w:r>
          </w:p>
        </w:tc>
        <w:tc>
          <w:tcPr>
            <w:tcW w:w="6474" w:type="dxa"/>
          </w:tcPr>
          <w:p w14:paraId="5787D12A" w14:textId="77777777" w:rsidR="002E431B" w:rsidRDefault="002E431B" w:rsidP="00CE1E71">
            <w:pPr>
              <w:pStyle w:val="ListParagraph"/>
              <w:widowControl w:val="0"/>
              <w:numPr>
                <w:ilvl w:val="0"/>
                <w:numId w:val="9"/>
              </w:numPr>
            </w:pPr>
            <w:r>
              <w:t xml:space="preserve">All advice writers are required to advise on suitable outcomes for the needs identified within their area of expertise.  Consider that if a final EHCP is issued, there should only be an appropriately small number of outcomes in total. </w:t>
            </w:r>
          </w:p>
          <w:p w14:paraId="10700C08" w14:textId="77777777" w:rsidR="002E431B" w:rsidRDefault="002E431B" w:rsidP="00CE1E71">
            <w:pPr>
              <w:pStyle w:val="ListParagraph"/>
              <w:widowControl w:val="0"/>
              <w:numPr>
                <w:ilvl w:val="0"/>
                <w:numId w:val="9"/>
              </w:numPr>
            </w:pPr>
            <w:r>
              <w:t xml:space="preserve">For every outcome suggested, advice writers must advise on suitable provision to enable the child/young person to make progress towards that outcome. </w:t>
            </w:r>
          </w:p>
          <w:p w14:paraId="358A453B" w14:textId="77777777" w:rsidR="002E431B" w:rsidRDefault="002E431B" w:rsidP="00CE1E71">
            <w:pPr>
              <w:pStyle w:val="ListParagraph"/>
              <w:widowControl w:val="0"/>
              <w:numPr>
                <w:ilvl w:val="0"/>
                <w:numId w:val="9"/>
              </w:numPr>
            </w:pPr>
            <w:r>
              <w:t>As part of the EHC needs assessment process in Essex, a meeting (</w:t>
            </w:r>
            <w:r w:rsidRPr="0052467E">
              <w:rPr>
                <w:b/>
                <w:bCs/>
              </w:rPr>
              <w:t>the Outcomes Meeting</w:t>
            </w:r>
            <w:r>
              <w:t xml:space="preserve">) is held with families and professionals involved in the child/young person’s life. All professionals that submit advice will be invited to the Outcomes Meeting and can contribute to the development of the outcomes. Advice writers should prioritise attendance/ contribution to these meetings. </w:t>
            </w:r>
          </w:p>
          <w:p w14:paraId="148EB65D" w14:textId="77777777" w:rsidR="002E431B" w:rsidRDefault="002E431B" w:rsidP="00CE1E71">
            <w:pPr>
              <w:pStyle w:val="ListParagraph"/>
              <w:widowControl w:val="0"/>
              <w:numPr>
                <w:ilvl w:val="0"/>
                <w:numId w:val="9"/>
              </w:numPr>
            </w:pPr>
            <w:r>
              <w:t>For professionals writing statutory advice the best approach to advising on outcomes will be to start with an understanding of the child/young persons’ aspirations and the achievable outcomes they are aiming for; then consider what are likely to be the steps to those outcomes; then to specify the provision that will be needed to make this happen</w:t>
            </w:r>
          </w:p>
          <w:p w14:paraId="1C8627AD" w14:textId="72BEC839" w:rsidR="002E431B" w:rsidRDefault="002E431B" w:rsidP="00CE1E71">
            <w:pPr>
              <w:pStyle w:val="ListParagraph"/>
              <w:widowControl w:val="0"/>
              <w:numPr>
                <w:ilvl w:val="0"/>
                <w:numId w:val="9"/>
              </w:numPr>
              <w:rPr>
                <w:rStyle w:val="ui-provider"/>
              </w:rPr>
            </w:pPr>
            <w:r>
              <w:t>Advice writers must consider outcomes, needs and provision relevant to assist in the preparation for adulthood and independent living, for example, support for finding employment, housing or for participation in society.</w:t>
            </w:r>
          </w:p>
        </w:tc>
      </w:tr>
      <w:tr w:rsidR="002E431B" w14:paraId="3EFB9C7F" w14:textId="77777777" w:rsidTr="00685906">
        <w:tc>
          <w:tcPr>
            <w:tcW w:w="2552" w:type="dxa"/>
            <w:vAlign w:val="center"/>
          </w:tcPr>
          <w:p w14:paraId="47310E1E" w14:textId="70F92D50" w:rsidR="00BB6F0A" w:rsidRPr="00BB6F0A" w:rsidRDefault="002E431B" w:rsidP="00CE1E71">
            <w:pPr>
              <w:pStyle w:val="Heading4"/>
              <w:widowControl w:val="0"/>
              <w:jc w:val="center"/>
              <w:rPr>
                <w:b/>
                <w:bCs/>
                <w:i w:val="0"/>
                <w:iCs w:val="0"/>
              </w:rPr>
            </w:pPr>
            <w:r>
              <w:rPr>
                <w:b/>
                <w:bCs/>
                <w:i w:val="0"/>
                <w:iCs w:val="0"/>
                <w:noProof/>
              </w:rPr>
              <w:drawing>
                <wp:inline distT="0" distB="0" distL="0" distR="0" wp14:anchorId="500ECB60" wp14:editId="6095E938">
                  <wp:extent cx="1598650" cy="802640"/>
                  <wp:effectExtent l="0" t="0" r="1905"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6947" cy="806806"/>
                          </a:xfrm>
                          <a:prstGeom prst="rect">
                            <a:avLst/>
                          </a:prstGeom>
                          <a:noFill/>
                        </pic:spPr>
                      </pic:pic>
                    </a:graphicData>
                  </a:graphic>
                </wp:inline>
              </w:drawing>
            </w:r>
          </w:p>
          <w:p w14:paraId="1BADB312" w14:textId="77777777" w:rsidR="00BB6F0A" w:rsidRPr="00531CF9" w:rsidRDefault="00BB6F0A" w:rsidP="00CE1E71">
            <w:pPr>
              <w:pStyle w:val="Heading4"/>
              <w:widowControl w:val="0"/>
              <w:jc w:val="center"/>
              <w:rPr>
                <w:b/>
                <w:bCs/>
                <w:i w:val="0"/>
                <w:iCs w:val="0"/>
              </w:rPr>
            </w:pPr>
          </w:p>
        </w:tc>
        <w:tc>
          <w:tcPr>
            <w:tcW w:w="6474" w:type="dxa"/>
          </w:tcPr>
          <w:p w14:paraId="688336C2" w14:textId="77777777" w:rsidR="002E431B" w:rsidRPr="00BC2835" w:rsidRDefault="002E431B" w:rsidP="00CE1E71">
            <w:pPr>
              <w:pStyle w:val="ListParagraph"/>
              <w:widowControl w:val="0"/>
              <w:numPr>
                <w:ilvl w:val="0"/>
                <w:numId w:val="1"/>
              </w:numPr>
              <w:ind w:left="360"/>
            </w:pPr>
            <w:r w:rsidRPr="00BC2835">
              <w:t xml:space="preserve">Every effort should be made to capture the child/young person’s views </w:t>
            </w:r>
            <w:r w:rsidRPr="002E431B">
              <w:rPr>
                <w:b/>
                <w:bCs/>
              </w:rPr>
              <w:t>directly</w:t>
            </w:r>
            <w:r w:rsidRPr="00BC2835">
              <w:t xml:space="preserve"> in whatever format is appropriate. If this is not possible, an explanation should be included. </w:t>
            </w:r>
          </w:p>
          <w:p w14:paraId="6E04EBA4" w14:textId="77777777" w:rsidR="002E431B" w:rsidRDefault="002E431B" w:rsidP="00CE1E71">
            <w:pPr>
              <w:pStyle w:val="ListParagraph"/>
              <w:widowControl w:val="0"/>
              <w:numPr>
                <w:ilvl w:val="0"/>
                <w:numId w:val="1"/>
              </w:numPr>
              <w:ind w:left="360"/>
            </w:pPr>
            <w:r>
              <w:t>Reports and advice should describe the individual as far as possible in terms that they would choose to describe themselves.</w:t>
            </w:r>
          </w:p>
          <w:p w14:paraId="3E24A130" w14:textId="77777777" w:rsidR="002E431B" w:rsidRDefault="002E431B" w:rsidP="00CE1E71">
            <w:pPr>
              <w:pStyle w:val="ListParagraph"/>
              <w:widowControl w:val="0"/>
              <w:numPr>
                <w:ilvl w:val="0"/>
                <w:numId w:val="1"/>
              </w:numPr>
              <w:ind w:left="360"/>
            </w:pPr>
            <w:r>
              <w:t>Advice must make clear where a child or family member is being directly quoted.</w:t>
            </w:r>
          </w:p>
          <w:p w14:paraId="70FEDA3E" w14:textId="4B7C9917" w:rsidR="002E431B" w:rsidRDefault="002E431B" w:rsidP="00CE1E71">
            <w:pPr>
              <w:pStyle w:val="ListParagraph"/>
              <w:widowControl w:val="0"/>
              <w:numPr>
                <w:ilvl w:val="0"/>
                <w:numId w:val="1"/>
              </w:numPr>
              <w:ind w:left="360"/>
            </w:pPr>
            <w:r>
              <w:t>When writing statutory advice professionals should discuss the plan already in place as a result of One Planning.</w:t>
            </w:r>
          </w:p>
          <w:p w14:paraId="36F9AB17" w14:textId="77777777" w:rsidR="002E431B" w:rsidRDefault="002E431B" w:rsidP="00CE1E71">
            <w:pPr>
              <w:pStyle w:val="ListParagraph"/>
              <w:widowControl w:val="0"/>
              <w:numPr>
                <w:ilvl w:val="0"/>
                <w:numId w:val="1"/>
              </w:numPr>
              <w:ind w:left="360"/>
            </w:pPr>
            <w:r>
              <w:t xml:space="preserve">Outcomes should clearly belong to the CYP, reflecting what is important to them and their family. </w:t>
            </w:r>
          </w:p>
          <w:p w14:paraId="3FF7781B" w14:textId="14590AA2" w:rsidR="00BB6F0A" w:rsidRDefault="00BB6F0A" w:rsidP="00CE1E71">
            <w:pPr>
              <w:pStyle w:val="ListParagraph"/>
              <w:widowControl w:val="0"/>
              <w:numPr>
                <w:ilvl w:val="0"/>
                <w:numId w:val="1"/>
              </w:numPr>
              <w:ind w:left="360"/>
            </w:pPr>
            <w:r>
              <w:t xml:space="preserve">It is important that children, young people and parents feel they have participated fully in the EHCNA process and that their views have been fairly represented. </w:t>
            </w:r>
          </w:p>
          <w:p w14:paraId="33829AB6" w14:textId="77777777" w:rsidR="00BB6F0A" w:rsidRDefault="00BB6F0A" w:rsidP="00CE1E71">
            <w:pPr>
              <w:pStyle w:val="ListParagraph"/>
              <w:widowControl w:val="0"/>
              <w:numPr>
                <w:ilvl w:val="0"/>
                <w:numId w:val="1"/>
              </w:numPr>
              <w:ind w:left="360"/>
            </w:pPr>
            <w:r>
              <w:t>Co-production does not mean that professionals have to give advice that always agrees with and supports young people and their families’ wishes and aspirations. It is entirely credible and acceptable that professional advice will disagree or diverge from what a young person wants, but where this happens, the professional should refer to this disagreement, explain how it has arisen and justify their own position.</w:t>
            </w:r>
          </w:p>
          <w:p w14:paraId="71BB716F" w14:textId="07110893" w:rsidR="00685906" w:rsidRPr="00BC2835" w:rsidRDefault="00685906" w:rsidP="00CE1E71">
            <w:pPr>
              <w:pStyle w:val="ListParagraph"/>
              <w:widowControl w:val="0"/>
              <w:ind w:left="360"/>
            </w:pPr>
          </w:p>
        </w:tc>
      </w:tr>
      <w:tr w:rsidR="002E431B" w14:paraId="227F714F" w14:textId="77777777" w:rsidTr="00685906">
        <w:tc>
          <w:tcPr>
            <w:tcW w:w="2552" w:type="dxa"/>
            <w:vAlign w:val="center"/>
          </w:tcPr>
          <w:p w14:paraId="70847223" w14:textId="55C48E37" w:rsidR="00BB6F0A" w:rsidRPr="00531CF9" w:rsidRDefault="002E431B" w:rsidP="00CE1E71">
            <w:pPr>
              <w:pStyle w:val="Heading4"/>
              <w:widowControl w:val="0"/>
              <w:rPr>
                <w:b/>
                <w:bCs/>
                <w:i w:val="0"/>
                <w:iCs w:val="0"/>
              </w:rPr>
            </w:pPr>
            <w:r>
              <w:rPr>
                <w:b/>
                <w:bCs/>
                <w:i w:val="0"/>
                <w:iCs w:val="0"/>
                <w:noProof/>
              </w:rPr>
              <w:lastRenderedPageBreak/>
              <w:drawing>
                <wp:inline distT="0" distB="0" distL="0" distR="0" wp14:anchorId="2D14D069" wp14:editId="7220FC5B">
                  <wp:extent cx="1581150" cy="80649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069" cy="811039"/>
                          </a:xfrm>
                          <a:prstGeom prst="rect">
                            <a:avLst/>
                          </a:prstGeom>
                          <a:noFill/>
                        </pic:spPr>
                      </pic:pic>
                    </a:graphicData>
                  </a:graphic>
                </wp:inline>
              </w:drawing>
            </w:r>
          </w:p>
          <w:p w14:paraId="6578A81F" w14:textId="77777777" w:rsidR="00BB6F0A" w:rsidRDefault="00BB6F0A" w:rsidP="00CE1E71">
            <w:pPr>
              <w:widowControl w:val="0"/>
              <w:jc w:val="center"/>
            </w:pPr>
          </w:p>
        </w:tc>
        <w:tc>
          <w:tcPr>
            <w:tcW w:w="6474" w:type="dxa"/>
          </w:tcPr>
          <w:p w14:paraId="4C3FB4C0" w14:textId="77777777" w:rsidR="00BB6F0A" w:rsidRDefault="00BB6F0A" w:rsidP="00CE1E71">
            <w:pPr>
              <w:pStyle w:val="ListParagraph"/>
              <w:widowControl w:val="0"/>
              <w:numPr>
                <w:ilvl w:val="0"/>
                <w:numId w:val="10"/>
              </w:numPr>
              <w:rPr>
                <w:rStyle w:val="ui-provider"/>
              </w:rPr>
            </w:pPr>
            <w:r w:rsidRPr="002A52CF">
              <w:rPr>
                <w:rStyle w:val="ui-provider"/>
              </w:rPr>
              <w:t xml:space="preserve">The needs and provision of the EHCP need to be ‘specific’ and ‘not vague’. </w:t>
            </w:r>
          </w:p>
          <w:p w14:paraId="6168B1B2" w14:textId="683A1E97" w:rsidR="00BB6F0A" w:rsidRDefault="00BB6F0A" w:rsidP="00CE1E71">
            <w:pPr>
              <w:pStyle w:val="ListParagraph"/>
              <w:widowControl w:val="0"/>
              <w:numPr>
                <w:ilvl w:val="0"/>
                <w:numId w:val="10"/>
              </w:numPr>
              <w:rPr>
                <w:rStyle w:val="ui-provider"/>
              </w:rPr>
            </w:pPr>
            <w:r w:rsidRPr="002A52CF">
              <w:rPr>
                <w:rStyle w:val="ui-provider"/>
              </w:rPr>
              <w:t xml:space="preserve">In order for this to be possible, advice writers should think about ‘who, what, where and when’ when writing their statutory advice. </w:t>
            </w:r>
          </w:p>
          <w:p w14:paraId="18B46E1C" w14:textId="460FE176" w:rsidR="00BB6F0A" w:rsidRDefault="00BB6F0A" w:rsidP="00CE1E71">
            <w:pPr>
              <w:pStyle w:val="ListParagraph"/>
              <w:widowControl w:val="0"/>
              <w:numPr>
                <w:ilvl w:val="0"/>
                <w:numId w:val="10"/>
              </w:numPr>
              <w:rPr>
                <w:rStyle w:val="ui-provider"/>
              </w:rPr>
            </w:pPr>
            <w:r>
              <w:rPr>
                <w:rStyle w:val="ui-provider"/>
              </w:rPr>
              <w:t xml:space="preserve">Instead of naming specific roles, use the term ‘appropriately qualified professional’ </w:t>
            </w:r>
          </w:p>
          <w:p w14:paraId="178E27BB" w14:textId="77777777" w:rsidR="002E431B" w:rsidRDefault="002E431B" w:rsidP="00CE1E71">
            <w:pPr>
              <w:pStyle w:val="ListParagraph"/>
              <w:widowControl w:val="0"/>
              <w:numPr>
                <w:ilvl w:val="0"/>
                <w:numId w:val="10"/>
              </w:numPr>
            </w:pPr>
            <w:r>
              <w:t xml:space="preserve">Advice writers should limit advice to only their area of expertise </w:t>
            </w:r>
          </w:p>
          <w:p w14:paraId="4396F378" w14:textId="77777777" w:rsidR="002E431B" w:rsidRDefault="002E431B" w:rsidP="00CE1E71">
            <w:pPr>
              <w:pStyle w:val="ListParagraph"/>
              <w:widowControl w:val="0"/>
              <w:numPr>
                <w:ilvl w:val="0"/>
                <w:numId w:val="10"/>
              </w:numPr>
            </w:pPr>
            <w:r w:rsidRPr="002A52CF">
              <w:t>Underpinned by current thinking</w:t>
            </w:r>
            <w:r>
              <w:t>, evidence</w:t>
            </w:r>
            <w:r w:rsidRPr="002A52CF">
              <w:t xml:space="preserve"> and knowledge </w:t>
            </w:r>
            <w:r>
              <w:t>within</w:t>
            </w:r>
            <w:r w:rsidRPr="002A52CF">
              <w:t xml:space="preserve"> their area of expertise (e.g. educational psychology). </w:t>
            </w:r>
          </w:p>
          <w:p w14:paraId="60D690D7" w14:textId="77777777" w:rsidR="00BB6F0A" w:rsidRDefault="00BB6F0A" w:rsidP="00CE1E71">
            <w:pPr>
              <w:widowControl w:val="0"/>
            </w:pPr>
          </w:p>
        </w:tc>
      </w:tr>
    </w:tbl>
    <w:p w14:paraId="1797CF3E" w14:textId="6CA55B28" w:rsidR="00531CF9" w:rsidRPr="00531CF9" w:rsidRDefault="00531CF9" w:rsidP="00531CF9"/>
    <w:p w14:paraId="28EF957C" w14:textId="0A4689BF" w:rsidR="0030632A" w:rsidRDefault="0030632A" w:rsidP="0030632A">
      <w:pPr>
        <w:pStyle w:val="ListParagraph"/>
      </w:pPr>
    </w:p>
    <w:p w14:paraId="4F1F13BE" w14:textId="1FA234EA" w:rsidR="0030632A" w:rsidRPr="00531CF9" w:rsidRDefault="00531CF9" w:rsidP="00531CF9">
      <w:pPr>
        <w:pStyle w:val="Heading3"/>
        <w:numPr>
          <w:ilvl w:val="0"/>
          <w:numId w:val="8"/>
        </w:numPr>
        <w:rPr>
          <w:b/>
          <w:bCs/>
          <w:sz w:val="28"/>
          <w:szCs w:val="28"/>
        </w:rPr>
      </w:pPr>
      <w:bookmarkStart w:id="13" w:name="_Toc158223064"/>
      <w:r w:rsidRPr="00531CF9">
        <w:rPr>
          <w:b/>
          <w:bCs/>
          <w:sz w:val="28"/>
          <w:szCs w:val="28"/>
        </w:rPr>
        <w:t>Advice Writers Templates</w:t>
      </w:r>
      <w:bookmarkEnd w:id="13"/>
    </w:p>
    <w:p w14:paraId="381F659B" w14:textId="77777777" w:rsidR="00E17BCE" w:rsidRDefault="00E17BCE" w:rsidP="00531CF9"/>
    <w:tbl>
      <w:tblPr>
        <w:tblStyle w:val="TableGrid"/>
        <w:tblW w:w="0" w:type="auto"/>
        <w:tblLook w:val="04A0" w:firstRow="1" w:lastRow="0" w:firstColumn="1" w:lastColumn="0" w:noHBand="0" w:noVBand="1"/>
      </w:tblPr>
      <w:tblGrid>
        <w:gridCol w:w="9016"/>
      </w:tblGrid>
      <w:tr w:rsidR="00E17BCE" w14:paraId="2DC01995" w14:textId="77777777" w:rsidTr="00E17BCE">
        <w:tc>
          <w:tcPr>
            <w:tcW w:w="9016" w:type="dxa"/>
          </w:tcPr>
          <w:p w14:paraId="5A133409" w14:textId="22358532" w:rsidR="00E17BCE" w:rsidRPr="00F05565" w:rsidRDefault="00E17BCE" w:rsidP="00531CF9">
            <w:pPr>
              <w:rPr>
                <w:rFonts w:cstheme="minorHAnsi"/>
                <w:sz w:val="24"/>
                <w:szCs w:val="24"/>
              </w:rPr>
            </w:pPr>
            <w:r w:rsidRPr="00F05565">
              <w:rPr>
                <w:rFonts w:cstheme="minorHAnsi"/>
                <w:sz w:val="24"/>
                <w:szCs w:val="24"/>
              </w:rPr>
              <w:t xml:space="preserve">Educational Psychology </w:t>
            </w:r>
            <w:bookmarkStart w:id="14" w:name="_MON_1768835203"/>
            <w:bookmarkEnd w:id="14"/>
            <w:r w:rsidR="00DD25B5" w:rsidRPr="00F05565">
              <w:rPr>
                <w:rFonts w:cstheme="minorHAnsi"/>
                <w:sz w:val="24"/>
                <w:szCs w:val="24"/>
              </w:rPr>
              <w:object w:dxaOrig="1508" w:dyaOrig="982" w14:anchorId="2EE58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P document" style="width:75.75pt;height:48.75pt" o:ole="">
                  <v:imagedata r:id="rId11" o:title=""/>
                </v:shape>
                <o:OLEObject Type="Embed" ProgID="Word.Document.12" ShapeID="_x0000_i1025" DrawAspect="Icon" ObjectID="_1790413968" r:id="rId12">
                  <o:FieldCodes>\s</o:FieldCodes>
                </o:OLEObject>
              </w:object>
            </w:r>
          </w:p>
        </w:tc>
      </w:tr>
      <w:tr w:rsidR="00E17BCE" w14:paraId="13AE0441" w14:textId="77777777" w:rsidTr="00E17BCE">
        <w:tc>
          <w:tcPr>
            <w:tcW w:w="9016" w:type="dxa"/>
          </w:tcPr>
          <w:p w14:paraId="3DA23A94" w14:textId="6FEB5785" w:rsidR="00E17BCE" w:rsidRPr="00FD5E4C" w:rsidRDefault="00000000" w:rsidP="00FD5E4C">
            <w:pPr>
              <w:pStyle w:val="NormalWeb"/>
              <w:shd w:val="clear" w:color="auto" w:fill="FFFFFF"/>
              <w:spacing w:before="0" w:beforeAutospacing="0" w:after="150" w:afterAutospacing="0" w:line="330" w:lineRule="atLeast"/>
              <w:rPr>
                <w:rStyle w:val="Hyperlink"/>
                <w:rFonts w:asciiTheme="minorHAnsi" w:eastAsiaTheme="majorEastAsia" w:hAnsiTheme="minorHAnsi" w:cstheme="minorHAnsi"/>
                <w:color w:val="0033A0"/>
              </w:rPr>
            </w:pPr>
            <w:hyperlink r:id="rId13" w:history="1">
              <w:r w:rsidR="00DD25B5" w:rsidRPr="00FD5E4C">
                <w:rPr>
                  <w:rStyle w:val="Hyperlink"/>
                  <w:rFonts w:asciiTheme="minorHAnsi" w:eastAsiaTheme="majorEastAsia" w:hAnsiTheme="minorHAnsi" w:cstheme="minorHAnsi"/>
                  <w:color w:val="0033A0"/>
                </w:rPr>
                <w:t>Paediatricians template (Word, 132KB)</w:t>
              </w:r>
            </w:hyperlink>
          </w:p>
        </w:tc>
      </w:tr>
      <w:tr w:rsidR="00E17BCE" w14:paraId="2FAF33BC" w14:textId="77777777" w:rsidTr="00E17BCE">
        <w:tc>
          <w:tcPr>
            <w:tcW w:w="9016" w:type="dxa"/>
          </w:tcPr>
          <w:p w14:paraId="15E5E5D7" w14:textId="50F20F65" w:rsidR="00E17BCE" w:rsidRPr="00FD5E4C" w:rsidRDefault="00000000" w:rsidP="00E17BCE">
            <w:pPr>
              <w:pStyle w:val="NormalWeb"/>
              <w:shd w:val="clear" w:color="auto" w:fill="FFFFFF"/>
              <w:spacing w:before="0" w:beforeAutospacing="0" w:after="150" w:afterAutospacing="0" w:line="330" w:lineRule="atLeast"/>
              <w:rPr>
                <w:rStyle w:val="Hyperlink"/>
                <w:rFonts w:eastAsiaTheme="majorEastAsia"/>
                <w:color w:val="0033A0"/>
              </w:rPr>
            </w:pPr>
            <w:hyperlink r:id="rId14" w:history="1">
              <w:r w:rsidR="00E17BCE" w:rsidRPr="00F05565">
                <w:rPr>
                  <w:rStyle w:val="Hyperlink"/>
                  <w:rFonts w:asciiTheme="minorHAnsi" w:eastAsiaTheme="majorEastAsia" w:hAnsiTheme="minorHAnsi" w:cstheme="minorHAnsi"/>
                  <w:color w:val="0033A0"/>
                </w:rPr>
                <w:t>Suggested OT and PT EHCP Advice Template</w:t>
              </w:r>
            </w:hyperlink>
          </w:p>
        </w:tc>
      </w:tr>
      <w:tr w:rsidR="00FD5E4C" w14:paraId="3FE43D23" w14:textId="77777777" w:rsidTr="00E17BCE">
        <w:tc>
          <w:tcPr>
            <w:tcW w:w="9016" w:type="dxa"/>
          </w:tcPr>
          <w:p w14:paraId="1B344914" w14:textId="11498F58" w:rsidR="00FD5E4C" w:rsidRPr="00FD5E4C" w:rsidRDefault="00FD5E4C" w:rsidP="00FD5E4C">
            <w:pPr>
              <w:pStyle w:val="NormalWeb"/>
              <w:shd w:val="clear" w:color="auto" w:fill="FFFFFF"/>
              <w:spacing w:before="0" w:beforeAutospacing="0" w:after="150" w:afterAutospacing="0" w:line="330" w:lineRule="atLeast"/>
              <w:rPr>
                <w:rStyle w:val="Hyperlink"/>
                <w:rFonts w:asciiTheme="minorHAnsi" w:eastAsiaTheme="majorEastAsia" w:hAnsiTheme="minorHAnsi" w:cstheme="minorHAnsi"/>
                <w:color w:val="0033A0"/>
              </w:rPr>
            </w:pPr>
            <w:hyperlink r:id="rId15" w:history="1">
              <w:r w:rsidRPr="00FD5E4C">
                <w:rPr>
                  <w:rStyle w:val="Hyperlink"/>
                  <w:rFonts w:asciiTheme="minorHAnsi" w:eastAsiaTheme="majorEastAsia" w:hAnsiTheme="minorHAnsi" w:cstheme="minorHAnsi"/>
                  <w:color w:val="0033A0"/>
                </w:rPr>
                <w:t>Speech and language therapy (SALT) template (Word, 140KB)</w:t>
              </w:r>
            </w:hyperlink>
          </w:p>
        </w:tc>
      </w:tr>
      <w:tr w:rsidR="00E17BCE" w14:paraId="36E667B5" w14:textId="77777777" w:rsidTr="00E17BCE">
        <w:tc>
          <w:tcPr>
            <w:tcW w:w="9016" w:type="dxa"/>
          </w:tcPr>
          <w:p w14:paraId="750AB59E" w14:textId="394EC009" w:rsidR="00E17BCE" w:rsidRPr="00F05565" w:rsidRDefault="00E17BCE" w:rsidP="00E17BCE">
            <w:pPr>
              <w:pStyle w:val="NormalWeb"/>
              <w:shd w:val="clear" w:color="auto" w:fill="FFFFFF"/>
              <w:spacing w:before="0" w:beforeAutospacing="0" w:after="150" w:afterAutospacing="0" w:line="330" w:lineRule="atLeast"/>
              <w:rPr>
                <w:rFonts w:asciiTheme="minorHAnsi" w:hAnsiTheme="minorHAnsi" w:cstheme="minorHAnsi"/>
                <w:color w:val="000000"/>
              </w:rPr>
            </w:pPr>
            <w:r w:rsidRPr="00F05565">
              <w:rPr>
                <w:rFonts w:asciiTheme="minorHAnsi" w:hAnsiTheme="minorHAnsi" w:cstheme="minorHAnsi"/>
                <w:color w:val="000000"/>
              </w:rPr>
              <w:t xml:space="preserve">Social Care </w:t>
            </w:r>
            <w:bookmarkStart w:id="15" w:name="_MON_1768835602"/>
            <w:bookmarkEnd w:id="15"/>
            <w:r w:rsidR="00245865" w:rsidRPr="00F05565">
              <w:rPr>
                <w:rFonts w:asciiTheme="minorHAnsi" w:hAnsiTheme="minorHAnsi" w:cstheme="minorHAnsi"/>
                <w:color w:val="000000"/>
              </w:rPr>
              <w:object w:dxaOrig="1508" w:dyaOrig="982" w14:anchorId="5A42DB62">
                <v:shape id="_x0000_i1026" type="#_x0000_t75" alt="Social care document" style="width:75.75pt;height:48.75pt" o:ole="">
                  <v:imagedata r:id="rId16" o:title=""/>
                </v:shape>
                <o:OLEObject Type="Embed" ProgID="Word.Document.12" ShapeID="_x0000_i1026" DrawAspect="Icon" ObjectID="_1790413969" r:id="rId17">
                  <o:FieldCodes>\s</o:FieldCodes>
                </o:OLEObject>
              </w:object>
            </w:r>
          </w:p>
        </w:tc>
      </w:tr>
    </w:tbl>
    <w:p w14:paraId="08EDBE07" w14:textId="77777777" w:rsidR="00E17BCE" w:rsidRDefault="00E17BCE" w:rsidP="00531CF9"/>
    <w:p w14:paraId="02D461F8" w14:textId="77777777" w:rsidR="00E17BCE" w:rsidRDefault="00E17BCE" w:rsidP="00531CF9"/>
    <w:p w14:paraId="56675863" w14:textId="5955074A" w:rsidR="00BC2835" w:rsidRDefault="00BC2835" w:rsidP="00BC2835">
      <w:pPr>
        <w:pStyle w:val="Heading3"/>
        <w:numPr>
          <w:ilvl w:val="0"/>
          <w:numId w:val="8"/>
        </w:numPr>
        <w:rPr>
          <w:b/>
          <w:bCs/>
          <w:sz w:val="28"/>
          <w:szCs w:val="28"/>
        </w:rPr>
      </w:pPr>
      <w:bookmarkStart w:id="16" w:name="_Toc158223065"/>
      <w:r w:rsidRPr="00BC2835">
        <w:rPr>
          <w:b/>
          <w:bCs/>
          <w:sz w:val="28"/>
          <w:szCs w:val="28"/>
        </w:rPr>
        <w:t>Quality Assurance Framework</w:t>
      </w:r>
      <w:bookmarkEnd w:id="16"/>
    </w:p>
    <w:p w14:paraId="2E0579ED" w14:textId="536358B7" w:rsidR="00BC2835" w:rsidRPr="00BC2835" w:rsidRDefault="000355D5" w:rsidP="00BC2835">
      <w:r>
        <w:object w:dxaOrig="1508" w:dyaOrig="982" w14:anchorId="774370E8">
          <v:shape id="_x0000_i1027" type="#_x0000_t75" alt="Quality assurance framework" style="width:75.75pt;height:48.75pt" o:ole="">
            <v:imagedata r:id="rId18" o:title=""/>
          </v:shape>
          <o:OLEObject Type="Embed" ProgID="AcroExch.Document.DC" ShapeID="_x0000_i1027" DrawAspect="Icon" ObjectID="_1790413970" r:id="rId19"/>
        </w:object>
      </w:r>
    </w:p>
    <w:sectPr w:rsidR="00BC2835" w:rsidRPr="00BC2835" w:rsidSect="00DC23E5">
      <w:pgSz w:w="11906" w:h="16838"/>
      <w:pgMar w:top="993"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76D"/>
    <w:multiLevelType w:val="hybridMultilevel"/>
    <w:tmpl w:val="799CB846"/>
    <w:lvl w:ilvl="0" w:tplc="F426EDD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0050D"/>
    <w:multiLevelType w:val="hybridMultilevel"/>
    <w:tmpl w:val="C35A1058"/>
    <w:lvl w:ilvl="0" w:tplc="182CBC7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C82578"/>
    <w:multiLevelType w:val="multilevel"/>
    <w:tmpl w:val="65E4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F6AC0"/>
    <w:multiLevelType w:val="multilevel"/>
    <w:tmpl w:val="2B44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04B9F"/>
    <w:multiLevelType w:val="hybridMultilevel"/>
    <w:tmpl w:val="AD5C14A2"/>
    <w:lvl w:ilvl="0" w:tplc="F426EDD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615DB4"/>
    <w:multiLevelType w:val="hybridMultilevel"/>
    <w:tmpl w:val="7A9EA15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8596C0C"/>
    <w:multiLevelType w:val="hybridMultilevel"/>
    <w:tmpl w:val="32C64584"/>
    <w:lvl w:ilvl="0" w:tplc="D5E2FEF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0042A11"/>
    <w:multiLevelType w:val="hybridMultilevel"/>
    <w:tmpl w:val="2166B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610B4A"/>
    <w:multiLevelType w:val="hybridMultilevel"/>
    <w:tmpl w:val="E4FE6AC4"/>
    <w:lvl w:ilvl="0" w:tplc="F426EDD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B412F9C"/>
    <w:multiLevelType w:val="hybridMultilevel"/>
    <w:tmpl w:val="B1080C9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92E7E8C"/>
    <w:multiLevelType w:val="hybridMultilevel"/>
    <w:tmpl w:val="4A40F052"/>
    <w:lvl w:ilvl="0" w:tplc="182CBC7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6E5AC1"/>
    <w:multiLevelType w:val="hybridMultilevel"/>
    <w:tmpl w:val="9B28E944"/>
    <w:lvl w:ilvl="0" w:tplc="182CBC7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30635F"/>
    <w:multiLevelType w:val="hybridMultilevel"/>
    <w:tmpl w:val="85163A82"/>
    <w:lvl w:ilvl="0" w:tplc="182CBC7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8F2869"/>
    <w:multiLevelType w:val="hybridMultilevel"/>
    <w:tmpl w:val="953E12DA"/>
    <w:lvl w:ilvl="0" w:tplc="5A6086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76656197">
    <w:abstractNumId w:val="11"/>
  </w:num>
  <w:num w:numId="2" w16cid:durableId="1962808189">
    <w:abstractNumId w:val="9"/>
  </w:num>
  <w:num w:numId="3" w16cid:durableId="1239822871">
    <w:abstractNumId w:val="6"/>
  </w:num>
  <w:num w:numId="4" w16cid:durableId="1995333602">
    <w:abstractNumId w:val="13"/>
  </w:num>
  <w:num w:numId="5" w16cid:durableId="1319922751">
    <w:abstractNumId w:val="8"/>
  </w:num>
  <w:num w:numId="6" w16cid:durableId="1061632251">
    <w:abstractNumId w:val="4"/>
  </w:num>
  <w:num w:numId="7" w16cid:durableId="688532265">
    <w:abstractNumId w:val="0"/>
  </w:num>
  <w:num w:numId="8" w16cid:durableId="1023359851">
    <w:abstractNumId w:val="5"/>
  </w:num>
  <w:num w:numId="9" w16cid:durableId="248544591">
    <w:abstractNumId w:val="1"/>
  </w:num>
  <w:num w:numId="10" w16cid:durableId="838692242">
    <w:abstractNumId w:val="10"/>
  </w:num>
  <w:num w:numId="11" w16cid:durableId="1647707388">
    <w:abstractNumId w:val="12"/>
  </w:num>
  <w:num w:numId="12" w16cid:durableId="903687417">
    <w:abstractNumId w:val="7"/>
  </w:num>
  <w:num w:numId="13" w16cid:durableId="731346861">
    <w:abstractNumId w:val="2"/>
  </w:num>
  <w:num w:numId="14" w16cid:durableId="1258372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89"/>
    <w:rsid w:val="0002092A"/>
    <w:rsid w:val="00021EF3"/>
    <w:rsid w:val="000355D5"/>
    <w:rsid w:val="00076DC9"/>
    <w:rsid w:val="001371A9"/>
    <w:rsid w:val="001B3CDD"/>
    <w:rsid w:val="001B6262"/>
    <w:rsid w:val="00245865"/>
    <w:rsid w:val="00273669"/>
    <w:rsid w:val="002A52CF"/>
    <w:rsid w:val="002A6A3B"/>
    <w:rsid w:val="002E431B"/>
    <w:rsid w:val="0030632A"/>
    <w:rsid w:val="00356844"/>
    <w:rsid w:val="0041440A"/>
    <w:rsid w:val="00475E38"/>
    <w:rsid w:val="004F5B73"/>
    <w:rsid w:val="0052467E"/>
    <w:rsid w:val="00531CF9"/>
    <w:rsid w:val="00685906"/>
    <w:rsid w:val="006D0397"/>
    <w:rsid w:val="007C0458"/>
    <w:rsid w:val="00990D5D"/>
    <w:rsid w:val="00A330BC"/>
    <w:rsid w:val="00A86335"/>
    <w:rsid w:val="00A92FED"/>
    <w:rsid w:val="00AF025E"/>
    <w:rsid w:val="00B7127A"/>
    <w:rsid w:val="00B745C4"/>
    <w:rsid w:val="00B8721C"/>
    <w:rsid w:val="00BB6F0A"/>
    <w:rsid w:val="00BC2835"/>
    <w:rsid w:val="00BD6D89"/>
    <w:rsid w:val="00C31834"/>
    <w:rsid w:val="00C41475"/>
    <w:rsid w:val="00C572E1"/>
    <w:rsid w:val="00CE1E71"/>
    <w:rsid w:val="00D513D8"/>
    <w:rsid w:val="00DC23E5"/>
    <w:rsid w:val="00DD25B5"/>
    <w:rsid w:val="00E17BCE"/>
    <w:rsid w:val="00E44A18"/>
    <w:rsid w:val="00E51F6B"/>
    <w:rsid w:val="00EF1E79"/>
    <w:rsid w:val="00F05565"/>
    <w:rsid w:val="00FD5E4C"/>
    <w:rsid w:val="00FF4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23010"/>
  <w15:chartTrackingRefBased/>
  <w15:docId w15:val="{EEFAC415-BF52-4C51-AC2A-942ED52D4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6D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6D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D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44A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D8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D6D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D6D8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44A18"/>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E51F6B"/>
    <w:pPr>
      <w:ind w:left="720"/>
      <w:contextualSpacing/>
    </w:pPr>
  </w:style>
  <w:style w:type="character" w:customStyle="1" w:styleId="ui-provider">
    <w:name w:val="ui-provider"/>
    <w:basedOn w:val="DefaultParagraphFont"/>
    <w:rsid w:val="0030632A"/>
  </w:style>
  <w:style w:type="paragraph" w:styleId="TOCHeading">
    <w:name w:val="TOC Heading"/>
    <w:basedOn w:val="Heading1"/>
    <w:next w:val="Normal"/>
    <w:uiPriority w:val="39"/>
    <w:unhideWhenUsed/>
    <w:qFormat/>
    <w:rsid w:val="00D513D8"/>
    <w:pPr>
      <w:outlineLvl w:val="9"/>
    </w:pPr>
    <w:rPr>
      <w:lang w:val="en-US"/>
    </w:rPr>
  </w:style>
  <w:style w:type="paragraph" w:styleId="TOC1">
    <w:name w:val="toc 1"/>
    <w:basedOn w:val="Normal"/>
    <w:next w:val="Normal"/>
    <w:autoRedefine/>
    <w:uiPriority w:val="39"/>
    <w:unhideWhenUsed/>
    <w:rsid w:val="00D513D8"/>
    <w:pPr>
      <w:spacing w:after="100"/>
    </w:pPr>
  </w:style>
  <w:style w:type="paragraph" w:styleId="TOC2">
    <w:name w:val="toc 2"/>
    <w:basedOn w:val="Normal"/>
    <w:next w:val="Normal"/>
    <w:autoRedefine/>
    <w:uiPriority w:val="39"/>
    <w:unhideWhenUsed/>
    <w:rsid w:val="00D513D8"/>
    <w:pPr>
      <w:spacing w:after="100"/>
      <w:ind w:left="220"/>
    </w:pPr>
  </w:style>
  <w:style w:type="paragraph" w:styleId="TOC3">
    <w:name w:val="toc 3"/>
    <w:basedOn w:val="Normal"/>
    <w:next w:val="Normal"/>
    <w:autoRedefine/>
    <w:uiPriority w:val="39"/>
    <w:unhideWhenUsed/>
    <w:rsid w:val="00D513D8"/>
    <w:pPr>
      <w:spacing w:after="100"/>
      <w:ind w:left="440"/>
    </w:pPr>
  </w:style>
  <w:style w:type="character" w:styleId="Hyperlink">
    <w:name w:val="Hyperlink"/>
    <w:basedOn w:val="DefaultParagraphFont"/>
    <w:uiPriority w:val="99"/>
    <w:unhideWhenUsed/>
    <w:rsid w:val="00D513D8"/>
    <w:rPr>
      <w:color w:val="0563C1" w:themeColor="hyperlink"/>
      <w:u w:val="single"/>
    </w:rPr>
  </w:style>
  <w:style w:type="table" w:styleId="TableGrid">
    <w:name w:val="Table Grid"/>
    <w:basedOn w:val="TableNormal"/>
    <w:uiPriority w:val="39"/>
    <w:rsid w:val="00531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7B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D25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4887">
      <w:bodyDiv w:val="1"/>
      <w:marLeft w:val="0"/>
      <w:marRight w:val="0"/>
      <w:marTop w:val="0"/>
      <w:marBottom w:val="0"/>
      <w:divBdr>
        <w:top w:val="none" w:sz="0" w:space="0" w:color="auto"/>
        <w:left w:val="none" w:sz="0" w:space="0" w:color="auto"/>
        <w:bottom w:val="none" w:sz="0" w:space="0" w:color="auto"/>
        <w:right w:val="none" w:sz="0" w:space="0" w:color="auto"/>
      </w:divBdr>
    </w:div>
    <w:div w:id="629022123">
      <w:bodyDiv w:val="1"/>
      <w:marLeft w:val="0"/>
      <w:marRight w:val="0"/>
      <w:marTop w:val="0"/>
      <w:marBottom w:val="0"/>
      <w:divBdr>
        <w:top w:val="none" w:sz="0" w:space="0" w:color="auto"/>
        <w:left w:val="none" w:sz="0" w:space="0" w:color="auto"/>
        <w:bottom w:val="none" w:sz="0" w:space="0" w:color="auto"/>
        <w:right w:val="none" w:sz="0" w:space="0" w:color="auto"/>
      </w:divBdr>
    </w:div>
    <w:div w:id="109139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ecureschools.essex.gov.uk/DisplayDocument.aspx?DocID=548"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package" Target="embeddings/Microsoft_Word_Document.docx"/><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secureschools.essex.gov.uk/DisplayDocument.aspx?DocID=547" TargetMode="External"/><Relationship Id="rId10" Type="http://schemas.openxmlformats.org/officeDocument/2006/relationships/image" Target="media/image5.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schools.essex.gov.uk/pupils/SEND/Documents/6.51-Suggested-OT-and-PT-EHCP-Advice-Template-June-2018.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AC0FE-E47F-43DF-952C-418D0C87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Abercrombie - SEND Strategy Lead - Transformation</dc:creator>
  <cp:keywords/>
  <dc:description/>
  <cp:lastModifiedBy>Alex Abercrombie - SEND Strategy Lead - Transformation</cp:lastModifiedBy>
  <cp:revision>11</cp:revision>
  <dcterms:created xsi:type="dcterms:W3CDTF">2024-02-07T18:27:00Z</dcterms:created>
  <dcterms:modified xsi:type="dcterms:W3CDTF">2024-10-14T11:26:00Z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2023-03-07T17:21:38Z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55f8e6d8-e112-4e76-adfa-86744974e1eb</vt:lpwstr>
  </property>
  <property fmtid="{D5CDD505-2E9C-101B-9397-08002B2CF9AE}" pid="8" name="MSIP_Label_39d8be9e-c8d9-4b9c-bd40-2c27cc7ea2e6_ContentBits">
    <vt:lpwstr>0</vt:lpwstr>
  </property>
</Properties>
</file>