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F57D" w14:textId="77777777" w:rsidR="008C1463" w:rsidRPr="00E3607B" w:rsidRDefault="008C1463" w:rsidP="002732C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E3607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Rationale</w:t>
      </w:r>
    </w:p>
    <w:p w14:paraId="73041B1C" w14:textId="4C6A4A59" w:rsidR="001D3EAE" w:rsidRPr="00E3607B" w:rsidRDefault="00BE3736" w:rsidP="00BE3736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3607B">
        <w:rPr>
          <w:rFonts w:ascii="Arial" w:hAnsi="Arial" w:cs="Arial"/>
          <w:sz w:val="22"/>
          <w:szCs w:val="22"/>
        </w:rPr>
        <w:t xml:space="preserve">Essex Local Authority </w:t>
      </w:r>
      <w:proofErr w:type="spellStart"/>
      <w:r w:rsidRPr="00E3607B">
        <w:rPr>
          <w:rFonts w:ascii="Arial" w:hAnsi="Arial" w:cs="Arial"/>
          <w:sz w:val="22"/>
          <w:szCs w:val="22"/>
        </w:rPr>
        <w:t>recognise</w:t>
      </w:r>
      <w:r w:rsidR="00E3607B">
        <w:rPr>
          <w:rFonts w:ascii="Arial" w:hAnsi="Arial" w:cs="Arial"/>
          <w:sz w:val="22"/>
          <w:szCs w:val="22"/>
        </w:rPr>
        <w:t>s</w:t>
      </w:r>
      <w:proofErr w:type="spellEnd"/>
      <w:r w:rsidRPr="00E3607B">
        <w:rPr>
          <w:rFonts w:ascii="Arial" w:hAnsi="Arial" w:cs="Arial"/>
          <w:sz w:val="22"/>
          <w:szCs w:val="22"/>
        </w:rPr>
        <w:t xml:space="preserve"> wellbeing as a universal entitlement </w:t>
      </w:r>
      <w:r w:rsidR="00AA5104" w:rsidRPr="00E3607B">
        <w:rPr>
          <w:rFonts w:ascii="Arial" w:hAnsi="Arial" w:cs="Arial"/>
          <w:sz w:val="22"/>
          <w:szCs w:val="22"/>
        </w:rPr>
        <w:t>f</w:t>
      </w:r>
      <w:r w:rsidRPr="00E3607B">
        <w:rPr>
          <w:rFonts w:ascii="Arial" w:hAnsi="Arial" w:cs="Arial"/>
          <w:sz w:val="22"/>
          <w:szCs w:val="22"/>
        </w:rPr>
        <w:t>o</w:t>
      </w:r>
      <w:r w:rsidR="00AA5104" w:rsidRPr="00E3607B">
        <w:rPr>
          <w:rFonts w:ascii="Arial" w:hAnsi="Arial" w:cs="Arial"/>
          <w:sz w:val="22"/>
          <w:szCs w:val="22"/>
        </w:rPr>
        <w:t>r</w:t>
      </w:r>
      <w:r w:rsidRPr="00E3607B">
        <w:rPr>
          <w:rFonts w:ascii="Arial" w:hAnsi="Arial" w:cs="Arial"/>
          <w:sz w:val="22"/>
          <w:szCs w:val="22"/>
        </w:rPr>
        <w:t xml:space="preserve"> all</w:t>
      </w:r>
      <w:r w:rsidR="001F3728" w:rsidRPr="00E3607B">
        <w:rPr>
          <w:rFonts w:ascii="Arial" w:hAnsi="Arial" w:cs="Arial"/>
          <w:sz w:val="22"/>
          <w:szCs w:val="22"/>
        </w:rPr>
        <w:t>.</w:t>
      </w:r>
      <w:r w:rsidRPr="00E3607B">
        <w:rPr>
          <w:rFonts w:ascii="Arial" w:hAnsi="Arial" w:cs="Arial"/>
          <w:sz w:val="22"/>
          <w:szCs w:val="22"/>
        </w:rPr>
        <w:t xml:space="preserve"> 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We believe the most effective schools place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the 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>wellbeing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>o</w:t>
      </w:r>
      <w:r w:rsidR="00753546" w:rsidRPr="00E3607B">
        <w:rPr>
          <w:rFonts w:ascii="Arial" w:hAnsi="Arial" w:cs="Arial"/>
          <w:sz w:val="22"/>
          <w:szCs w:val="22"/>
          <w:bdr w:val="none" w:sz="0" w:space="0" w:color="auto" w:frame="1"/>
        </w:rPr>
        <w:t>f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all</w:t>
      </w:r>
      <w:r w:rsidR="0075354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>stakeholders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at the heart of everything it </w:t>
      </w:r>
      <w:r w:rsidR="00753546" w:rsidRPr="00E3607B">
        <w:rPr>
          <w:rFonts w:ascii="Arial" w:hAnsi="Arial" w:cs="Arial"/>
          <w:sz w:val="22"/>
          <w:szCs w:val="22"/>
          <w:bdr w:val="none" w:sz="0" w:space="0" w:color="auto" w:frame="1"/>
        </w:rPr>
        <w:t>aspires</w:t>
      </w:r>
      <w:r w:rsidR="00D261DA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to achieve.</w:t>
      </w:r>
      <w:r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7A978ADA" w14:textId="77777777" w:rsidR="001D3EAE" w:rsidRPr="00E3607B" w:rsidRDefault="001D3EAE" w:rsidP="00BE3736">
      <w:pPr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</w:p>
    <w:p w14:paraId="1C212037" w14:textId="61D21F0D" w:rsidR="001D3EAE" w:rsidRPr="00E3607B" w:rsidRDefault="001D3EAE" w:rsidP="001D3EAE">
      <w:pPr>
        <w:spacing w:line="252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Essex </w:t>
      </w:r>
      <w:r w:rsidR="00521C9A" w:rsidRPr="00E3607B">
        <w:rPr>
          <w:rFonts w:ascii="Arial" w:hAnsi="Arial" w:cs="Arial"/>
          <w:color w:val="000000" w:themeColor="text1"/>
          <w:sz w:val="22"/>
          <w:szCs w:val="22"/>
        </w:rPr>
        <w:t xml:space="preserve">Local Authority </w:t>
      </w:r>
      <w:r w:rsidR="0000573C" w:rsidRPr="00E3607B">
        <w:rPr>
          <w:rFonts w:ascii="Arial" w:hAnsi="Arial" w:cs="Arial"/>
          <w:color w:val="000000" w:themeColor="text1"/>
          <w:sz w:val="22"/>
          <w:szCs w:val="22"/>
        </w:rPr>
        <w:t>encourages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 schools and settings </w:t>
      </w:r>
      <w:r w:rsidR="0000573C" w:rsidRPr="00E3607B">
        <w:rPr>
          <w:rFonts w:ascii="Arial" w:hAnsi="Arial" w:cs="Arial"/>
          <w:color w:val="000000" w:themeColor="text1"/>
          <w:sz w:val="22"/>
          <w:szCs w:val="22"/>
        </w:rPr>
        <w:t>to</w:t>
      </w:r>
      <w:r w:rsidR="008D195C" w:rsidRPr="00E360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A52E3" w:rsidRPr="00E3607B">
        <w:rPr>
          <w:rFonts w:ascii="Arial" w:hAnsi="Arial" w:cs="Arial"/>
          <w:color w:val="000000" w:themeColor="text1"/>
          <w:sz w:val="22"/>
          <w:szCs w:val="22"/>
        </w:rPr>
        <w:t>prioriti</w:t>
      </w:r>
      <w:r w:rsidR="005D5586" w:rsidRPr="00E3607B">
        <w:rPr>
          <w:rFonts w:ascii="Arial" w:hAnsi="Arial" w:cs="Arial"/>
          <w:color w:val="000000" w:themeColor="text1"/>
          <w:sz w:val="22"/>
          <w:szCs w:val="22"/>
        </w:rPr>
        <w:t>s</w:t>
      </w:r>
      <w:r w:rsidR="002A52E3" w:rsidRPr="00E3607B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spellEnd"/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 a sharp focus on promoting wellbeing</w:t>
      </w:r>
      <w:r w:rsidR="005D5586" w:rsidRPr="00E3607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building resilience and </w:t>
      </w:r>
      <w:r w:rsidR="005D5586" w:rsidRPr="00E3607B">
        <w:rPr>
          <w:rFonts w:ascii="Arial" w:hAnsi="Arial" w:cs="Arial"/>
          <w:color w:val="000000" w:themeColor="text1"/>
          <w:sz w:val="22"/>
          <w:szCs w:val="22"/>
        </w:rPr>
        <w:t xml:space="preserve">maintaining 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good mental health as </w:t>
      </w:r>
      <w:r w:rsidR="0062373D" w:rsidRPr="00E3607B">
        <w:rPr>
          <w:rFonts w:ascii="Arial" w:hAnsi="Arial" w:cs="Arial"/>
          <w:color w:val="000000" w:themeColor="text1"/>
          <w:sz w:val="22"/>
          <w:szCs w:val="22"/>
        </w:rPr>
        <w:t>integral to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 improv</w:t>
      </w:r>
      <w:r w:rsidR="0062373D" w:rsidRPr="00E3607B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 outcomes for children and young people, and the communities which they serve. </w:t>
      </w:r>
      <w:r w:rsidR="005A4FBD" w:rsidRPr="00E3607B">
        <w:rPr>
          <w:rFonts w:ascii="Arial" w:hAnsi="Arial" w:cs="Arial"/>
          <w:color w:val="000000" w:themeColor="text1"/>
          <w:sz w:val="22"/>
          <w:szCs w:val="22"/>
        </w:rPr>
        <w:t>Building upon the implementation of Trauma Perceptive Practice (TPP), w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>orking on these</w:t>
      </w:r>
      <w:r w:rsidR="009C4B84" w:rsidRPr="00E3607B">
        <w:rPr>
          <w:rFonts w:ascii="Arial" w:hAnsi="Arial" w:cs="Arial"/>
          <w:color w:val="000000" w:themeColor="text1"/>
          <w:sz w:val="22"/>
          <w:szCs w:val="22"/>
        </w:rPr>
        <w:t xml:space="preserve"> key </w:t>
      </w:r>
      <w:r w:rsidR="00061CF3" w:rsidRPr="00E3607B">
        <w:rPr>
          <w:rFonts w:ascii="Arial" w:hAnsi="Arial" w:cs="Arial"/>
          <w:color w:val="000000" w:themeColor="text1"/>
          <w:sz w:val="22"/>
          <w:szCs w:val="22"/>
        </w:rPr>
        <w:t>v</w:t>
      </w:r>
      <w:r w:rsidR="00F1167A" w:rsidRPr="00E3607B">
        <w:rPr>
          <w:rFonts w:ascii="Arial" w:hAnsi="Arial" w:cs="Arial"/>
          <w:color w:val="000000" w:themeColor="text1"/>
          <w:sz w:val="22"/>
          <w:szCs w:val="22"/>
        </w:rPr>
        <w:t>alues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 will, in time, create a resilient and wellbeing</w:t>
      </w:r>
      <w:r w:rsidR="005D5586" w:rsidRPr="00E3607B">
        <w:rPr>
          <w:rFonts w:ascii="Arial" w:hAnsi="Arial" w:cs="Arial"/>
          <w:color w:val="000000" w:themeColor="text1"/>
          <w:sz w:val="22"/>
          <w:szCs w:val="22"/>
        </w:rPr>
        <w:t>-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focused educational setting. The benefits for individuals and families are clear – increased capability and productivity, </w:t>
      </w:r>
      <w:r w:rsidR="00560A1D" w:rsidRPr="00E3607B">
        <w:rPr>
          <w:rFonts w:ascii="Arial" w:hAnsi="Arial" w:cs="Arial"/>
          <w:color w:val="000000" w:themeColor="text1"/>
          <w:sz w:val="22"/>
          <w:szCs w:val="22"/>
        </w:rPr>
        <w:t xml:space="preserve">improved pupil outcomes, 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 xml:space="preserve">reduced absence, reduced demand on services and improved relationships and </w:t>
      </w:r>
      <w:r w:rsidR="00991B08" w:rsidRPr="00E3607B">
        <w:rPr>
          <w:rFonts w:ascii="Arial" w:hAnsi="Arial" w:cs="Arial"/>
          <w:color w:val="000000" w:themeColor="text1"/>
          <w:sz w:val="22"/>
          <w:szCs w:val="22"/>
        </w:rPr>
        <w:t xml:space="preserve">greater satisfaction and </w:t>
      </w:r>
      <w:r w:rsidRPr="00E3607B">
        <w:rPr>
          <w:rFonts w:ascii="Arial" w:hAnsi="Arial" w:cs="Arial"/>
          <w:color w:val="000000" w:themeColor="text1"/>
          <w:sz w:val="22"/>
          <w:szCs w:val="22"/>
        </w:rPr>
        <w:t>happiness.</w:t>
      </w:r>
    </w:p>
    <w:p w14:paraId="79EE6609" w14:textId="77777777" w:rsidR="001D3EAE" w:rsidRPr="00E3607B" w:rsidRDefault="001D3EAE" w:rsidP="00BE3736">
      <w:pPr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</w:pPr>
    </w:p>
    <w:p w14:paraId="269FD576" w14:textId="17A4E82E" w:rsidR="00911848" w:rsidRPr="00E3607B" w:rsidRDefault="00BE3736" w:rsidP="00BE3736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The most effective </w:t>
      </w:r>
      <w:proofErr w:type="gramStart"/>
      <w:r w:rsidRPr="00E3607B">
        <w:rPr>
          <w:rFonts w:ascii="Arial" w:hAnsi="Arial" w:cs="Arial"/>
          <w:sz w:val="22"/>
          <w:szCs w:val="22"/>
          <w:bdr w:val="none" w:sz="0" w:space="0" w:color="auto" w:frame="1"/>
        </w:rPr>
        <w:t>schools</w:t>
      </w:r>
      <w:proofErr w:type="gramEnd"/>
      <w:r w:rsidR="00195C14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value and protect wellbeing</w:t>
      </w:r>
      <w:r w:rsidR="00B133A7" w:rsidRPr="00E3607B">
        <w:rPr>
          <w:rFonts w:ascii="Arial" w:hAnsi="Arial" w:cs="Arial"/>
          <w:sz w:val="22"/>
          <w:szCs w:val="22"/>
          <w:bdr w:val="none" w:sz="0" w:space="0" w:color="auto" w:frame="1"/>
        </w:rPr>
        <w:t>, and</w:t>
      </w:r>
      <w:r w:rsidR="00195C14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instill </w:t>
      </w:r>
      <w:r w:rsidR="000F7E98" w:rsidRPr="00E3607B">
        <w:rPr>
          <w:rFonts w:ascii="Arial" w:hAnsi="Arial" w:cs="Arial"/>
          <w:sz w:val="22"/>
          <w:szCs w:val="22"/>
          <w:bdr w:val="none" w:sz="0" w:space="0" w:color="auto" w:frame="1"/>
        </w:rPr>
        <w:t>an</w:t>
      </w:r>
      <w:r w:rsidR="00195C14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6468F" w:rsidRPr="00E3607B">
        <w:rPr>
          <w:rFonts w:ascii="Arial" w:hAnsi="Arial" w:cs="Arial"/>
          <w:sz w:val="22"/>
          <w:szCs w:val="22"/>
          <w:bdr w:val="none" w:sz="0" w:space="0" w:color="auto" w:frame="1"/>
        </w:rPr>
        <w:t>ethos</w:t>
      </w:r>
      <w:r w:rsidR="00195C14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of </w:t>
      </w:r>
      <w:r w:rsidR="0053225E" w:rsidRPr="00E3607B">
        <w:rPr>
          <w:rFonts w:ascii="Arial" w:hAnsi="Arial" w:cs="Arial"/>
          <w:sz w:val="22"/>
          <w:szCs w:val="22"/>
          <w:bdr w:val="none" w:sz="0" w:space="0" w:color="auto" w:frame="1"/>
        </w:rPr>
        <w:t>responsibility</w:t>
      </w:r>
      <w:r w:rsidR="00195C14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for one’s own </w:t>
      </w:r>
      <w:r w:rsidR="0053225E" w:rsidRPr="00E3607B">
        <w:rPr>
          <w:rFonts w:ascii="Arial" w:hAnsi="Arial" w:cs="Arial"/>
          <w:sz w:val="22"/>
          <w:szCs w:val="22"/>
          <w:bdr w:val="none" w:sz="0" w:space="0" w:color="auto" w:frame="1"/>
        </w:rPr>
        <w:t>wellbeing as well as a responsibility to the wellbeing of all others.</w:t>
      </w:r>
      <w:r w:rsidR="00C54D1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B133A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C54D1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Effective schools value </w:t>
      </w:r>
      <w:r w:rsidR="00DE6D0F" w:rsidRPr="00E3607B">
        <w:rPr>
          <w:rFonts w:ascii="Arial" w:hAnsi="Arial" w:cs="Arial"/>
          <w:sz w:val="22"/>
          <w:szCs w:val="22"/>
          <w:bdr w:val="none" w:sz="0" w:space="0" w:color="auto" w:frame="1"/>
        </w:rPr>
        <w:t>relationships</w:t>
      </w:r>
      <w:r w:rsidR="00C54D1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DE6D0F" w:rsidRPr="00E3607B">
        <w:rPr>
          <w:rFonts w:ascii="Arial" w:hAnsi="Arial" w:cs="Arial"/>
          <w:sz w:val="22"/>
          <w:szCs w:val="22"/>
          <w:bdr w:val="none" w:sz="0" w:space="0" w:color="auto" w:frame="1"/>
        </w:rPr>
        <w:t>highly</w:t>
      </w:r>
      <w:r w:rsidR="007E4092" w:rsidRPr="00E3607B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 They </w:t>
      </w:r>
      <w:r w:rsidR="00C54D1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promote </w:t>
      </w:r>
      <w:r w:rsidR="00C932E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a culture of </w:t>
      </w:r>
      <w:r w:rsidR="00C54D17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getting the best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>from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every individual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and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>support</w:t>
      </w:r>
      <w:r w:rsidR="00C932E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E52FF" w:rsidRPr="00E3607B">
        <w:rPr>
          <w:rFonts w:ascii="Arial" w:hAnsi="Arial" w:cs="Arial"/>
          <w:sz w:val="22"/>
          <w:szCs w:val="22"/>
          <w:bdr w:val="none" w:sz="0" w:space="0" w:color="auto" w:frame="1"/>
        </w:rPr>
        <w:t>individual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>to get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the best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>from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themselves</w:t>
      </w:r>
      <w:r w:rsidR="00C932EB" w:rsidRPr="00E3607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in order to </w:t>
      </w:r>
      <w:r w:rsidR="005D5586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in turn </w:t>
      </w:r>
      <w:r w:rsidR="00154ABC" w:rsidRPr="00E3607B">
        <w:rPr>
          <w:rFonts w:ascii="Arial" w:hAnsi="Arial" w:cs="Arial"/>
          <w:sz w:val="22"/>
          <w:szCs w:val="22"/>
          <w:bdr w:val="none" w:sz="0" w:space="0" w:color="auto" w:frame="1"/>
        </w:rPr>
        <w:t>achieve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 the best from its children</w:t>
      </w:r>
      <w:r w:rsidR="00911848" w:rsidRPr="00E3607B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41345B" w:rsidRPr="00E3607B">
        <w:rPr>
          <w:rFonts w:ascii="Arial" w:hAnsi="Arial" w:cs="Arial"/>
          <w:sz w:val="22"/>
          <w:szCs w:val="22"/>
          <w:bdr w:val="none" w:sz="0" w:space="0" w:color="auto" w:frame="1"/>
        </w:rPr>
        <w:t>young people</w:t>
      </w:r>
      <w:r w:rsidR="00911848" w:rsidRPr="00E3607B">
        <w:rPr>
          <w:rFonts w:ascii="Arial" w:hAnsi="Arial" w:cs="Arial"/>
          <w:sz w:val="22"/>
          <w:szCs w:val="22"/>
          <w:bdr w:val="none" w:sz="0" w:space="0" w:color="auto" w:frame="1"/>
        </w:rPr>
        <w:t>, staff and school community.</w:t>
      </w:r>
    </w:p>
    <w:p w14:paraId="1C57DD0A" w14:textId="4A2C9689" w:rsidR="008C1463" w:rsidRPr="00E3607B" w:rsidRDefault="008C1463" w:rsidP="002732C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6"/>
        <w:gridCol w:w="1724"/>
        <w:gridCol w:w="1940"/>
      </w:tblGrid>
      <w:tr w:rsidR="00672924" w:rsidRPr="00E3607B" w14:paraId="704A572A" w14:textId="77777777" w:rsidTr="00956E1B">
        <w:trPr>
          <w:trHeight w:val="922"/>
          <w:jc w:val="center"/>
        </w:trPr>
        <w:tc>
          <w:tcPr>
            <w:tcW w:w="3612" w:type="dxa"/>
            <w:vMerge w:val="restart"/>
          </w:tcPr>
          <w:p w14:paraId="499CDDC6" w14:textId="77777777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E3607B">
              <w:rPr>
                <w:rFonts w:ascii="Arial" w:hAnsi="Arial" w:cs="Arial"/>
                <w:b/>
                <w:bCs/>
                <w:noProof/>
                <w:color w:val="201F1E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A9437" wp14:editId="4EC5A41A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598169</wp:posOffset>
                      </wp:positionV>
                      <wp:extent cx="12700" cy="1712595"/>
                      <wp:effectExtent l="95250" t="38100" r="82550" b="97155"/>
                      <wp:wrapNone/>
                      <wp:docPr id="6" name="Straight Arrow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7125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CC5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alt="&quot;&quot;" style="position:absolute;margin-left:342.35pt;margin-top:47.1pt;width:1pt;height:1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" strokecolor="#d99594 [1941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3607B">
              <w:rPr>
                <w:rFonts w:ascii="Arial" w:hAnsi="Arial" w:cs="Arial"/>
                <w:b/>
                <w:bCs/>
                <w:noProof/>
                <w:color w:val="201F1E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0D636" wp14:editId="14CDF3FA">
                      <wp:simplePos x="0" y="0"/>
                      <wp:positionH relativeFrom="column">
                        <wp:posOffset>4345195</wp:posOffset>
                      </wp:positionH>
                      <wp:positionV relativeFrom="paragraph">
                        <wp:posOffset>-1657</wp:posOffset>
                      </wp:positionV>
                      <wp:extent cx="0" cy="588397"/>
                      <wp:effectExtent l="95250" t="38100" r="76200" b="97790"/>
                      <wp:wrapNone/>
                      <wp:docPr id="3" name="Straight Arrow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83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2C5CF" id="Straight Arrow Connector 3" o:spid="_x0000_s1026" type="#_x0000_t32" alt="&quot;&quot;" style="position:absolute;margin-left:342.15pt;margin-top:-.15pt;width:0;height:4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" strokecolor="#4f81bd [3204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3607B">
              <w:rPr>
                <w:rFonts w:ascii="Arial" w:hAnsi="Arial" w:cs="Arial"/>
                <w:b/>
                <w:bCs/>
                <w:noProof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drawing>
                <wp:inline distT="0" distB="0" distL="0" distR="0" wp14:anchorId="5CE727D5" wp14:editId="21F4DCA2">
                  <wp:extent cx="4168239" cy="2310065"/>
                  <wp:effectExtent l="0" t="0" r="381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3513" cy="231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vMerge w:val="restart"/>
          </w:tcPr>
          <w:p w14:paraId="269D78DF" w14:textId="3772C92F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14:paraId="0232C208" w14:textId="589E07D9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E3607B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Explicit activity, messaging, behaviours impacting on wellbeing</w:t>
            </w:r>
          </w:p>
        </w:tc>
      </w:tr>
      <w:tr w:rsidR="00672924" w:rsidRPr="00E3607B" w14:paraId="197B9CF3" w14:textId="77777777" w:rsidTr="00956E1B">
        <w:trPr>
          <w:jc w:val="center"/>
        </w:trPr>
        <w:tc>
          <w:tcPr>
            <w:tcW w:w="3612" w:type="dxa"/>
            <w:vMerge/>
          </w:tcPr>
          <w:p w14:paraId="49D625BE" w14:textId="77777777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3613" w:type="dxa"/>
            <w:vMerge/>
          </w:tcPr>
          <w:p w14:paraId="6EFED12E" w14:textId="61B0771B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40ABCA45" w14:textId="5EC014C1" w:rsidR="00672924" w:rsidRPr="00E3607B" w:rsidRDefault="00672924" w:rsidP="002732C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E3607B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Implicit activity, messaging, behaviours impacting on wellbeing</w:t>
            </w:r>
          </w:p>
        </w:tc>
      </w:tr>
    </w:tbl>
    <w:p w14:paraId="2B97DB90" w14:textId="171CDDDF" w:rsidR="00644A6E" w:rsidRPr="00E3607B" w:rsidRDefault="00644A6E" w:rsidP="002732C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4EB2F443" w14:textId="42518EC6" w:rsidR="00644A6E" w:rsidRPr="00E3607B" w:rsidRDefault="00644A6E" w:rsidP="002732C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71C77A62" w14:textId="6A69137B" w:rsidR="002732C8" w:rsidRPr="00E3607B" w:rsidRDefault="005D5586" w:rsidP="002732C8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E3607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D</w:t>
      </w:r>
      <w:r w:rsidR="002732C8" w:rsidRPr="00E3607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efinition of well-being</w:t>
      </w:r>
    </w:p>
    <w:p w14:paraId="0CAEF2D2" w14:textId="654E3225" w:rsidR="002732C8" w:rsidRPr="00E3607B" w:rsidRDefault="002732C8" w:rsidP="002732C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3607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Wellbeing is defined as a sustainable state in which every individual realises their own potential, copes with the typical stresses of professional life, works productively, resiliently and effectively, and is able to make a significant contribution to their community embedding a culture of compassion, kindness, hope, connection and belonging for themselves and all stakeholders.</w:t>
      </w:r>
    </w:p>
    <w:p w14:paraId="48AA134A" w14:textId="77777777" w:rsidR="00BD7372" w:rsidRPr="00E3607B" w:rsidRDefault="00BD7372" w:rsidP="002732C8">
      <w:pPr>
        <w:pStyle w:val="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4E72F5F6" w14:textId="5A820B9A" w:rsidR="00B14063" w:rsidRPr="00E3607B" w:rsidRDefault="002732C8" w:rsidP="00BD7372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607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Referenced Sources include:</w:t>
      </w:r>
      <w:r w:rsidRPr="00E3607B">
        <w:rPr>
          <w:rStyle w:val="apple-converted-space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E3607B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World Health Organisation, UNICEF, underpinning principles of TPP</w:t>
      </w:r>
    </w:p>
    <w:sectPr w:rsidR="00B14063" w:rsidRPr="00E3607B" w:rsidSect="008C1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235B" w14:textId="77777777" w:rsidR="00134CBD" w:rsidRDefault="00134CBD" w:rsidP="008C1463">
      <w:r>
        <w:separator/>
      </w:r>
    </w:p>
  </w:endnote>
  <w:endnote w:type="continuationSeparator" w:id="0">
    <w:p w14:paraId="35073B13" w14:textId="77777777" w:rsidR="00134CBD" w:rsidRDefault="00134CBD" w:rsidP="008C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4DC2" w14:textId="77777777" w:rsidR="00392860" w:rsidRDefault="00392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1051" w14:textId="77777777" w:rsidR="00392860" w:rsidRDefault="00392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1762" w14:textId="77777777" w:rsidR="00392860" w:rsidRDefault="0039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B8AB" w14:textId="77777777" w:rsidR="00134CBD" w:rsidRDefault="00134CBD" w:rsidP="008C1463">
      <w:r>
        <w:separator/>
      </w:r>
    </w:p>
  </w:footnote>
  <w:footnote w:type="continuationSeparator" w:id="0">
    <w:p w14:paraId="735D478C" w14:textId="77777777" w:rsidR="00134CBD" w:rsidRDefault="00134CBD" w:rsidP="008C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81EC" w14:textId="77777777" w:rsidR="00392860" w:rsidRDefault="00392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8CD7" w14:textId="63A42DEE" w:rsidR="008C1463" w:rsidRPr="00392860" w:rsidRDefault="008C1463" w:rsidP="005A03B4">
    <w:pPr>
      <w:pStyle w:val="Header"/>
      <w:rPr>
        <w:rFonts w:ascii="Arial" w:hAnsi="Arial" w:cs="Arial"/>
        <w:color w:val="FF0000"/>
      </w:rPr>
    </w:pPr>
    <w:r w:rsidRPr="00392860">
      <w:rPr>
        <w:rFonts w:ascii="Arial" w:hAnsi="Arial" w:cs="Arial"/>
        <w:noProof/>
        <w:color w:val="FF0000"/>
      </w:rPr>
      <w:drawing>
        <wp:anchor distT="0" distB="0" distL="114300" distR="114300" simplePos="0" relativeHeight="251658240" behindDoc="1" locked="0" layoutInCell="1" allowOverlap="1" wp14:anchorId="5A966E20" wp14:editId="029FFD50">
          <wp:simplePos x="0" y="0"/>
          <wp:positionH relativeFrom="column">
            <wp:posOffset>5418455</wp:posOffset>
          </wp:positionH>
          <wp:positionV relativeFrom="paragraph">
            <wp:posOffset>-304800</wp:posOffset>
          </wp:positionV>
          <wp:extent cx="814070" cy="561975"/>
          <wp:effectExtent l="0" t="0" r="5080" b="9525"/>
          <wp:wrapTight wrapText="bothSides">
            <wp:wrapPolygon edited="0">
              <wp:start x="0" y="0"/>
              <wp:lineTo x="0" y="21234"/>
              <wp:lineTo x="21229" y="21234"/>
              <wp:lineTo x="21229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860" w:rsidRPr="00672924">
      <w:rPr>
        <w:rFonts w:ascii="Arial" w:hAnsi="Arial" w:cs="Arial"/>
        <w:color w:val="C00000"/>
      </w:rPr>
      <w:t>Essex Headteacher Wellbeing Programme</w:t>
    </w:r>
  </w:p>
  <w:p w14:paraId="66BADC56" w14:textId="77777777" w:rsidR="008C1463" w:rsidRDefault="008C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3E2A" w14:textId="77777777" w:rsidR="00392860" w:rsidRDefault="0039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0573C"/>
    <w:rsid w:val="00061CF3"/>
    <w:rsid w:val="000956A9"/>
    <w:rsid w:val="000F7E98"/>
    <w:rsid w:val="00134CBD"/>
    <w:rsid w:val="00154ABC"/>
    <w:rsid w:val="00195C14"/>
    <w:rsid w:val="001D3EAE"/>
    <w:rsid w:val="001F3728"/>
    <w:rsid w:val="002431C4"/>
    <w:rsid w:val="002732C8"/>
    <w:rsid w:val="002A52E3"/>
    <w:rsid w:val="00366E6F"/>
    <w:rsid w:val="00392860"/>
    <w:rsid w:val="003E6552"/>
    <w:rsid w:val="0041345B"/>
    <w:rsid w:val="0045639A"/>
    <w:rsid w:val="004B502E"/>
    <w:rsid w:val="004C25D4"/>
    <w:rsid w:val="004D209B"/>
    <w:rsid w:val="00521C9A"/>
    <w:rsid w:val="0053225E"/>
    <w:rsid w:val="0054637D"/>
    <w:rsid w:val="00560A1D"/>
    <w:rsid w:val="005A03B4"/>
    <w:rsid w:val="005A4FBD"/>
    <w:rsid w:val="005D5586"/>
    <w:rsid w:val="0062373D"/>
    <w:rsid w:val="00644A6E"/>
    <w:rsid w:val="00672924"/>
    <w:rsid w:val="00753546"/>
    <w:rsid w:val="007E4092"/>
    <w:rsid w:val="00866342"/>
    <w:rsid w:val="008C1463"/>
    <w:rsid w:val="008D195C"/>
    <w:rsid w:val="00911848"/>
    <w:rsid w:val="00981432"/>
    <w:rsid w:val="00991B08"/>
    <w:rsid w:val="009C4B84"/>
    <w:rsid w:val="00A6468F"/>
    <w:rsid w:val="00A656F4"/>
    <w:rsid w:val="00A86593"/>
    <w:rsid w:val="00A86CDD"/>
    <w:rsid w:val="00AA5104"/>
    <w:rsid w:val="00AC6D06"/>
    <w:rsid w:val="00AE52FF"/>
    <w:rsid w:val="00B133A7"/>
    <w:rsid w:val="00B14063"/>
    <w:rsid w:val="00BD7372"/>
    <w:rsid w:val="00BE3736"/>
    <w:rsid w:val="00C307DD"/>
    <w:rsid w:val="00C54D17"/>
    <w:rsid w:val="00C932EB"/>
    <w:rsid w:val="00D261DA"/>
    <w:rsid w:val="00D519B1"/>
    <w:rsid w:val="00DE6D0F"/>
    <w:rsid w:val="00E3607B"/>
    <w:rsid w:val="00F06077"/>
    <w:rsid w:val="00F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0408A"/>
  <w14:defaultImageDpi w14:val="300"/>
  <w15:docId w15:val="{244AD37B-9D37-43DB-A63A-A778E1F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32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732C8"/>
  </w:style>
  <w:style w:type="paragraph" w:styleId="Header">
    <w:name w:val="header"/>
    <w:basedOn w:val="Normal"/>
    <w:link w:val="HeaderChar"/>
    <w:uiPriority w:val="99"/>
    <w:unhideWhenUsed/>
    <w:rsid w:val="008C1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63"/>
  </w:style>
  <w:style w:type="paragraph" w:styleId="Footer">
    <w:name w:val="footer"/>
    <w:basedOn w:val="Normal"/>
    <w:link w:val="FooterChar"/>
    <w:uiPriority w:val="99"/>
    <w:unhideWhenUsed/>
    <w:rsid w:val="008C1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63"/>
  </w:style>
  <w:style w:type="table" w:styleId="TableGrid">
    <w:name w:val="Table Grid"/>
    <w:basedOn w:val="TableNormal"/>
    <w:uiPriority w:val="59"/>
    <w:rsid w:val="00B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D769E166A83428D38EA1A1913DA9D" ma:contentTypeVersion="3" ma:contentTypeDescription="Create a new document." ma:contentTypeScope="" ma:versionID="ad913d3e5a0a221f7387a7a04e148039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a70b7840aa0b614e70f7609e36a23b1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7FDB6-EA86-4255-B733-FD32DA8278F0}"/>
</file>

<file path=customXml/itemProps2.xml><?xml version="1.0" encoding="utf-8"?>
<ds:datastoreItem xmlns:ds="http://schemas.openxmlformats.org/officeDocument/2006/customXml" ds:itemID="{D81B2A31-D310-4FE0-811F-991A259F2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84CB6-07C7-4DD1-A5AC-5668DC9DD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Jo Barclay - Head of Education Safeguarding and Wellbeing</cp:lastModifiedBy>
  <cp:revision>2</cp:revision>
  <dcterms:created xsi:type="dcterms:W3CDTF">2021-02-04T16:58:00Z</dcterms:created>
  <dcterms:modified xsi:type="dcterms:W3CDTF">2021-02-04T16:58:00Z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0x0101001B1D769E166A83428D38EA1A1913DA9D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2020-12-02T13:20:52Z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69497d79-d32f-4ead-a254-0000d66c0138</vt:lpwstr>
  </property>
  <property fmtid="{D5CDD505-2E9C-101B-9397-08002B2CF9AE}" pid="9" name="MSIP_Label_39d8be9e-c8d9-4b9c-bd40-2c27cc7ea2e6_ContentBits">
    <vt:lpwstr>0</vt:lpwstr>
  </property>
</Properties>
</file>