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2F03A" w14:textId="77777777" w:rsidR="00D35685" w:rsidRPr="005A6FAF" w:rsidRDefault="00D35685" w:rsidP="00D35685">
      <w:pPr>
        <w:spacing w:after="0" w:line="240" w:lineRule="auto"/>
        <w:jc w:val="center"/>
        <w:rPr>
          <w:rFonts w:ascii="Calibri" w:eastAsia="Times New Roman" w:hAnsi="Calibri" w:cs="Calibri"/>
          <w:sz w:val="22"/>
          <w:lang w:eastAsia="en-GB"/>
        </w:rPr>
      </w:pPr>
      <w:r w:rsidRPr="005A6FAF">
        <w:rPr>
          <w:rFonts w:ascii="Calibri" w:eastAsia="Times New Roman" w:hAnsi="Calibri" w:cs="Calibri"/>
          <w:noProof/>
          <w:sz w:val="22"/>
          <w:lang w:eastAsia="en-GB"/>
        </w:rPr>
        <w:drawing>
          <wp:inline distT="0" distB="0" distL="0" distR="0" wp14:anchorId="595E49A6" wp14:editId="113C4F7B">
            <wp:extent cx="1051560" cy="77724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1051560" cy="777240"/>
                    </a:xfrm>
                    <a:prstGeom prst="rect">
                      <a:avLst/>
                    </a:prstGeom>
                    <a:noFill/>
                    <a:ln>
                      <a:noFill/>
                    </a:ln>
                  </pic:spPr>
                </pic:pic>
              </a:graphicData>
            </a:graphic>
          </wp:inline>
        </w:drawing>
      </w:r>
    </w:p>
    <w:p w14:paraId="49269D9D" w14:textId="77777777" w:rsidR="00D35685" w:rsidRPr="005A6FAF" w:rsidRDefault="00D35685" w:rsidP="00D35685">
      <w:pPr>
        <w:spacing w:after="0" w:line="240" w:lineRule="auto"/>
        <w:jc w:val="center"/>
        <w:rPr>
          <w:rFonts w:ascii="Calibri" w:eastAsia="Times New Roman" w:hAnsi="Calibri" w:cs="Calibri"/>
          <w:b/>
          <w:sz w:val="40"/>
          <w:lang w:eastAsia="en-GB"/>
        </w:rPr>
      </w:pPr>
      <w:smartTag w:uri="urn:schemas-microsoft-com:office:smarttags" w:element="place">
        <w:r w:rsidRPr="005A6FAF">
          <w:rPr>
            <w:rFonts w:ascii="Calibri" w:eastAsia="Times New Roman" w:hAnsi="Calibri" w:cs="Calibri"/>
            <w:b/>
            <w:sz w:val="40"/>
            <w:lang w:eastAsia="en-GB"/>
          </w:rPr>
          <w:t>Essex</w:t>
        </w:r>
      </w:smartTag>
      <w:r w:rsidRPr="005A6FAF">
        <w:rPr>
          <w:rFonts w:ascii="Calibri" w:eastAsia="Times New Roman" w:hAnsi="Calibri" w:cs="Calibri"/>
          <w:b/>
          <w:sz w:val="40"/>
          <w:lang w:eastAsia="en-GB"/>
        </w:rPr>
        <w:t xml:space="preserve"> County Council</w:t>
      </w:r>
    </w:p>
    <w:p w14:paraId="697960E1" w14:textId="77777777" w:rsidR="00D35685" w:rsidRPr="005A6FAF" w:rsidRDefault="00D35685" w:rsidP="00D35685">
      <w:pPr>
        <w:spacing w:after="0" w:line="240" w:lineRule="auto"/>
        <w:jc w:val="center"/>
        <w:rPr>
          <w:rFonts w:ascii="Calibri" w:eastAsia="Times New Roman" w:hAnsi="Calibri" w:cs="Calibri"/>
          <w:sz w:val="52"/>
          <w:szCs w:val="52"/>
          <w:lang w:eastAsia="en-GB"/>
        </w:rPr>
      </w:pPr>
    </w:p>
    <w:p w14:paraId="26AACA3E" w14:textId="77777777" w:rsidR="00D35685" w:rsidRPr="005A6FAF" w:rsidRDefault="00D35685" w:rsidP="00D35685">
      <w:pPr>
        <w:tabs>
          <w:tab w:val="left" w:pos="5115"/>
        </w:tabs>
        <w:spacing w:after="0" w:line="240" w:lineRule="auto"/>
        <w:rPr>
          <w:rFonts w:ascii="Calibri" w:eastAsia="Times New Roman" w:hAnsi="Calibri" w:cs="Calibri"/>
          <w:sz w:val="22"/>
          <w:lang w:eastAsia="en-GB"/>
        </w:rPr>
      </w:pPr>
      <w:r w:rsidRPr="005A6FAF">
        <w:rPr>
          <w:rFonts w:ascii="Calibri" w:eastAsia="Times New Roman" w:hAnsi="Calibri" w:cs="Calibri"/>
          <w:sz w:val="22"/>
          <w:lang w:eastAsia="en-GB"/>
        </w:rPr>
        <w:tab/>
      </w:r>
    </w:p>
    <w:p w14:paraId="011D6672" w14:textId="77777777" w:rsidR="00D35685" w:rsidRPr="005A6FAF" w:rsidRDefault="00D35685" w:rsidP="00D35685">
      <w:pPr>
        <w:spacing w:after="0" w:line="240" w:lineRule="auto"/>
        <w:rPr>
          <w:rFonts w:ascii="Calibri" w:eastAsia="Times New Roman" w:hAnsi="Calibri" w:cs="Calibri"/>
          <w:sz w:val="22"/>
          <w:lang w:eastAsia="en-GB"/>
        </w:rPr>
      </w:pPr>
    </w:p>
    <w:p w14:paraId="5FEFE68C" w14:textId="77777777" w:rsidR="00D35685" w:rsidRPr="005A6FAF" w:rsidRDefault="00D35685" w:rsidP="00D35685">
      <w:pPr>
        <w:spacing w:after="0" w:line="240" w:lineRule="auto"/>
        <w:rPr>
          <w:rFonts w:ascii="Calibri" w:eastAsia="Times New Roman" w:hAnsi="Calibri" w:cs="Calibri"/>
          <w:sz w:val="22"/>
          <w:lang w:eastAsia="en-GB"/>
        </w:rPr>
      </w:pPr>
    </w:p>
    <w:p w14:paraId="53C914A3" w14:textId="77777777" w:rsidR="00DF57D3" w:rsidRPr="005A6FAF" w:rsidRDefault="002A36A0" w:rsidP="002A36A0">
      <w:pPr>
        <w:shd w:val="clear" w:color="auto" w:fill="FFFFFF"/>
        <w:spacing w:before="100" w:beforeAutospacing="1"/>
        <w:jc w:val="center"/>
        <w:outlineLvl w:val="0"/>
        <w:rPr>
          <w:rFonts w:ascii="Calibri" w:hAnsi="Calibri" w:cs="Calibri"/>
          <w:b/>
          <w:bCs/>
          <w:color w:val="222222"/>
          <w:kern w:val="36"/>
          <w:sz w:val="48"/>
          <w:szCs w:val="48"/>
        </w:rPr>
      </w:pPr>
      <w:r w:rsidRPr="005A6FAF">
        <w:rPr>
          <w:rFonts w:ascii="Calibri" w:hAnsi="Calibri" w:cs="Calibri"/>
          <w:b/>
          <w:bCs/>
          <w:color w:val="222222"/>
          <w:kern w:val="36"/>
          <w:sz w:val="48"/>
          <w:szCs w:val="48"/>
        </w:rPr>
        <w:t xml:space="preserve">Education </w:t>
      </w:r>
      <w:r w:rsidR="00D77E80" w:rsidRPr="005A6FAF">
        <w:rPr>
          <w:rFonts w:ascii="Calibri" w:hAnsi="Calibri" w:cs="Calibri"/>
          <w:b/>
          <w:bCs/>
          <w:color w:val="222222"/>
          <w:kern w:val="36"/>
          <w:sz w:val="48"/>
          <w:szCs w:val="48"/>
        </w:rPr>
        <w:t>Access</w:t>
      </w:r>
      <w:r w:rsidR="00DF57D3" w:rsidRPr="005A6FAF">
        <w:rPr>
          <w:rFonts w:ascii="Calibri" w:hAnsi="Calibri" w:cs="Calibri"/>
          <w:b/>
          <w:bCs/>
          <w:color w:val="222222"/>
          <w:kern w:val="36"/>
          <w:sz w:val="48"/>
          <w:szCs w:val="48"/>
        </w:rPr>
        <w:t>:</w:t>
      </w:r>
    </w:p>
    <w:p w14:paraId="6A2CF31C" w14:textId="6C8631B5" w:rsidR="002A36A0" w:rsidRPr="005A6FAF" w:rsidRDefault="00D77E80" w:rsidP="00E50482">
      <w:pPr>
        <w:shd w:val="clear" w:color="auto" w:fill="FFFFFF"/>
        <w:spacing w:before="100" w:beforeAutospacing="1"/>
        <w:jc w:val="center"/>
        <w:outlineLvl w:val="0"/>
        <w:rPr>
          <w:rFonts w:ascii="Calibri" w:hAnsi="Calibri" w:cs="Calibri"/>
          <w:b/>
          <w:bCs/>
          <w:color w:val="222222"/>
          <w:kern w:val="36"/>
          <w:sz w:val="48"/>
          <w:szCs w:val="48"/>
        </w:rPr>
      </w:pPr>
      <w:r w:rsidRPr="005A6FAF">
        <w:rPr>
          <w:rFonts w:ascii="Calibri" w:hAnsi="Calibri" w:cs="Calibri"/>
          <w:b/>
          <w:bCs/>
          <w:color w:val="222222"/>
          <w:kern w:val="36"/>
          <w:sz w:val="48"/>
          <w:szCs w:val="48"/>
        </w:rPr>
        <w:t xml:space="preserve"> </w:t>
      </w:r>
      <w:r w:rsidR="00FB7000">
        <w:rPr>
          <w:rFonts w:ascii="Calibri" w:hAnsi="Calibri" w:cs="Calibri"/>
          <w:b/>
          <w:bCs/>
          <w:color w:val="222222"/>
          <w:kern w:val="36"/>
          <w:sz w:val="48"/>
          <w:szCs w:val="48"/>
        </w:rPr>
        <w:t>Request for Support guidance</w:t>
      </w:r>
    </w:p>
    <w:p w14:paraId="116C7F7A" w14:textId="77777777" w:rsidR="00D35685" w:rsidRPr="005A6FAF" w:rsidRDefault="00D35685" w:rsidP="00D35685">
      <w:pPr>
        <w:spacing w:after="0" w:line="240" w:lineRule="auto"/>
        <w:rPr>
          <w:rFonts w:ascii="Calibri" w:eastAsia="Times New Roman" w:hAnsi="Calibri" w:cs="Calibri"/>
          <w:sz w:val="22"/>
          <w:lang w:eastAsia="en-GB"/>
        </w:rPr>
      </w:pPr>
    </w:p>
    <w:p w14:paraId="0A631881" w14:textId="77777777" w:rsidR="00D35685" w:rsidRPr="005A6FAF" w:rsidRDefault="00D35685" w:rsidP="00D35685">
      <w:pPr>
        <w:spacing w:after="0" w:line="240" w:lineRule="auto"/>
        <w:rPr>
          <w:rFonts w:ascii="Calibri" w:eastAsia="Times New Roman" w:hAnsi="Calibri" w:cs="Calibri"/>
          <w:sz w:val="22"/>
          <w:lang w:eastAsia="en-GB"/>
        </w:rPr>
      </w:pPr>
    </w:p>
    <w:p w14:paraId="16AFD4A6" w14:textId="77777777" w:rsidR="00D35685" w:rsidRPr="005A6FAF" w:rsidRDefault="00D35685" w:rsidP="00D35685">
      <w:pPr>
        <w:spacing w:after="0" w:line="240" w:lineRule="auto"/>
        <w:rPr>
          <w:rFonts w:ascii="Calibri" w:eastAsia="Times New Roman" w:hAnsi="Calibri" w:cs="Calibri"/>
          <w:sz w:val="22"/>
          <w:lang w:eastAsia="en-GB"/>
        </w:rPr>
      </w:pPr>
    </w:p>
    <w:p w14:paraId="2F5DDC40" w14:textId="77777777" w:rsidR="00D35685" w:rsidRPr="005A6FAF" w:rsidRDefault="00D35685" w:rsidP="00D35685">
      <w:pPr>
        <w:spacing w:after="0" w:line="240" w:lineRule="auto"/>
        <w:rPr>
          <w:rFonts w:ascii="Calibri" w:eastAsia="Times New Roman" w:hAnsi="Calibri" w:cs="Calibri"/>
          <w:sz w:val="22"/>
          <w:lang w:eastAsia="en-GB"/>
        </w:rPr>
      </w:pPr>
    </w:p>
    <w:p w14:paraId="3ED753B9" w14:textId="77777777" w:rsidR="00D35685" w:rsidRPr="005A6FAF" w:rsidRDefault="00D35685" w:rsidP="00D35685">
      <w:pPr>
        <w:spacing w:after="0" w:line="240" w:lineRule="auto"/>
        <w:rPr>
          <w:rFonts w:ascii="Calibri" w:eastAsia="Times New Roman" w:hAnsi="Calibri" w:cs="Calibri"/>
          <w:sz w:val="22"/>
          <w:lang w:eastAsia="en-GB"/>
        </w:rPr>
      </w:pPr>
    </w:p>
    <w:p w14:paraId="65B3BD31" w14:textId="77777777" w:rsidR="00D35685" w:rsidRPr="005A6FAF" w:rsidRDefault="00D35685" w:rsidP="00D35685">
      <w:pPr>
        <w:spacing w:after="0" w:line="240" w:lineRule="auto"/>
        <w:rPr>
          <w:rFonts w:ascii="Calibri" w:eastAsia="Times New Roman" w:hAnsi="Calibri" w:cs="Calibri"/>
          <w:sz w:val="22"/>
          <w:lang w:eastAsia="en-GB"/>
        </w:rPr>
      </w:pPr>
    </w:p>
    <w:p w14:paraId="3B6DEA9A" w14:textId="77777777" w:rsidR="00D35685" w:rsidRPr="005A6FAF" w:rsidRDefault="00D35685" w:rsidP="00D35685">
      <w:pPr>
        <w:spacing w:after="0" w:line="240" w:lineRule="auto"/>
        <w:rPr>
          <w:rFonts w:ascii="Calibri" w:eastAsia="Times New Roman" w:hAnsi="Calibri" w:cs="Calibri"/>
          <w:sz w:val="22"/>
          <w:lang w:eastAsia="en-GB"/>
        </w:rPr>
      </w:pPr>
    </w:p>
    <w:p w14:paraId="02CDDBB5" w14:textId="77777777" w:rsidR="00D35685" w:rsidRPr="005A6FAF" w:rsidRDefault="00D35685" w:rsidP="00D35685">
      <w:pPr>
        <w:spacing w:after="0" w:line="240" w:lineRule="auto"/>
        <w:rPr>
          <w:rFonts w:ascii="Calibri" w:eastAsia="Times New Roman" w:hAnsi="Calibri" w:cs="Calibri"/>
          <w:sz w:val="22"/>
          <w:lang w:eastAsia="en-GB"/>
        </w:rPr>
      </w:pPr>
    </w:p>
    <w:p w14:paraId="2E72665A" w14:textId="77777777" w:rsidR="00D35685" w:rsidRPr="005A6FAF" w:rsidRDefault="00D35685" w:rsidP="00D35685">
      <w:pPr>
        <w:spacing w:after="0" w:line="240" w:lineRule="auto"/>
        <w:rPr>
          <w:rFonts w:ascii="Calibri" w:eastAsia="Times New Roman" w:hAnsi="Calibri" w:cs="Calibri"/>
          <w:sz w:val="22"/>
          <w:lang w:eastAsia="en-GB"/>
        </w:rPr>
      </w:pPr>
    </w:p>
    <w:p w14:paraId="75CD5BFE" w14:textId="77777777" w:rsidR="00D35685" w:rsidRPr="005A6FAF" w:rsidRDefault="00D35685" w:rsidP="00D35685">
      <w:pPr>
        <w:spacing w:after="0" w:line="240" w:lineRule="auto"/>
        <w:rPr>
          <w:rFonts w:ascii="Calibri" w:eastAsia="Times New Roman" w:hAnsi="Calibri" w:cs="Calibri"/>
          <w:sz w:val="22"/>
          <w:lang w:eastAsia="en-GB"/>
        </w:rPr>
      </w:pPr>
    </w:p>
    <w:p w14:paraId="624F1330" w14:textId="77777777" w:rsidR="00D35685" w:rsidRPr="005A6FAF" w:rsidRDefault="00D35685" w:rsidP="00D35685">
      <w:pPr>
        <w:spacing w:after="0" w:line="240" w:lineRule="auto"/>
        <w:rPr>
          <w:rFonts w:ascii="Calibri" w:eastAsia="Times New Roman" w:hAnsi="Calibri" w:cs="Calibri"/>
          <w:sz w:val="22"/>
          <w:lang w:eastAsia="en-GB"/>
        </w:rPr>
      </w:pPr>
    </w:p>
    <w:p w14:paraId="0E9FF248" w14:textId="77777777" w:rsidR="00D35685" w:rsidRPr="005A6FAF" w:rsidRDefault="00D35685" w:rsidP="00D35685">
      <w:pPr>
        <w:spacing w:after="0" w:line="240" w:lineRule="auto"/>
        <w:rPr>
          <w:rFonts w:ascii="Calibri" w:eastAsia="Times New Roman" w:hAnsi="Calibri" w:cs="Calibri"/>
          <w:sz w:val="22"/>
          <w:lang w:eastAsia="en-GB"/>
        </w:rPr>
      </w:pPr>
    </w:p>
    <w:p w14:paraId="291E5F77" w14:textId="77777777" w:rsidR="00D35685" w:rsidRPr="005A6FAF" w:rsidRDefault="00D35685" w:rsidP="00D35685">
      <w:pPr>
        <w:spacing w:after="0" w:line="240" w:lineRule="auto"/>
        <w:rPr>
          <w:rFonts w:ascii="Calibri" w:eastAsia="Times New Roman" w:hAnsi="Calibri" w:cs="Calibri"/>
          <w:sz w:val="22"/>
          <w:lang w:eastAsia="en-GB"/>
        </w:rPr>
      </w:pPr>
    </w:p>
    <w:p w14:paraId="0D4131A0" w14:textId="77777777" w:rsidR="00D35685" w:rsidRPr="005A6FAF" w:rsidRDefault="00D35685" w:rsidP="00D35685">
      <w:pPr>
        <w:spacing w:after="0" w:line="240" w:lineRule="auto"/>
        <w:rPr>
          <w:rFonts w:ascii="Calibri" w:eastAsia="Times New Roman" w:hAnsi="Calibri" w:cs="Calibri"/>
          <w:sz w:val="22"/>
          <w:lang w:eastAsia="en-GB"/>
        </w:rPr>
      </w:pPr>
    </w:p>
    <w:p w14:paraId="19196EFD" w14:textId="77777777" w:rsidR="00D35685" w:rsidRPr="005A6FAF" w:rsidRDefault="00D35685" w:rsidP="00D35685">
      <w:pPr>
        <w:spacing w:after="0" w:line="240" w:lineRule="auto"/>
        <w:rPr>
          <w:rFonts w:ascii="Calibri" w:eastAsia="Times New Roman" w:hAnsi="Calibri" w:cs="Calibri"/>
          <w:sz w:val="22"/>
          <w:lang w:eastAsia="en-GB"/>
        </w:rPr>
      </w:pPr>
    </w:p>
    <w:p w14:paraId="7FC3ABA9" w14:textId="77777777" w:rsidR="00D35685" w:rsidRPr="005A6FAF" w:rsidRDefault="00D35685" w:rsidP="00D35685">
      <w:pPr>
        <w:spacing w:after="0" w:line="240" w:lineRule="auto"/>
        <w:rPr>
          <w:rFonts w:ascii="Calibri" w:eastAsia="Times New Roman" w:hAnsi="Calibri" w:cs="Calibri"/>
          <w:sz w:val="22"/>
          <w:lang w:eastAsia="en-GB"/>
        </w:rPr>
      </w:pPr>
    </w:p>
    <w:p w14:paraId="109D64BD" w14:textId="77777777" w:rsidR="00D35685" w:rsidRPr="005A6FAF" w:rsidRDefault="00D35685" w:rsidP="00D35685">
      <w:pPr>
        <w:spacing w:after="0" w:line="240" w:lineRule="auto"/>
        <w:rPr>
          <w:rFonts w:ascii="Calibri" w:eastAsia="Times New Roman" w:hAnsi="Calibri" w:cs="Calibri"/>
          <w:sz w:val="22"/>
          <w:lang w:eastAsia="en-GB"/>
        </w:rPr>
      </w:pPr>
    </w:p>
    <w:p w14:paraId="012E6155" w14:textId="77777777" w:rsidR="00D35685" w:rsidRPr="005A6FAF" w:rsidRDefault="00D35685" w:rsidP="00D35685">
      <w:pPr>
        <w:spacing w:after="0" w:line="240" w:lineRule="auto"/>
        <w:rPr>
          <w:rFonts w:ascii="Calibri" w:eastAsia="Times New Roman" w:hAnsi="Calibri" w:cs="Calibri"/>
          <w:sz w:val="22"/>
          <w:lang w:eastAsia="en-GB"/>
        </w:rPr>
      </w:pPr>
    </w:p>
    <w:p w14:paraId="6B58B5F8" w14:textId="77777777" w:rsidR="00D35685" w:rsidRPr="005A6FAF" w:rsidRDefault="00D35685" w:rsidP="00D35685">
      <w:pPr>
        <w:spacing w:after="0" w:line="240" w:lineRule="auto"/>
        <w:rPr>
          <w:rFonts w:ascii="Calibri" w:eastAsia="Times New Roman" w:hAnsi="Calibri" w:cs="Calibri"/>
          <w:sz w:val="22"/>
          <w:lang w:eastAsia="en-GB"/>
        </w:rPr>
      </w:pPr>
    </w:p>
    <w:p w14:paraId="090BCDD3" w14:textId="4B0A884A" w:rsidR="00D35685" w:rsidRPr="005A6FAF" w:rsidRDefault="002A36A0" w:rsidP="00D35685">
      <w:pPr>
        <w:spacing w:after="0" w:line="240" w:lineRule="auto"/>
        <w:jc w:val="both"/>
        <w:rPr>
          <w:rFonts w:ascii="Calibri" w:eastAsia="Times New Roman" w:hAnsi="Calibri" w:cs="Calibri"/>
          <w:b/>
          <w:sz w:val="22"/>
          <w:szCs w:val="22"/>
          <w:lang w:eastAsia="en-GB"/>
        </w:rPr>
      </w:pPr>
      <w:r w:rsidRPr="005A6FAF">
        <w:rPr>
          <w:rFonts w:ascii="Calibri" w:eastAsia="Times New Roman" w:hAnsi="Calibri" w:cs="Calibri"/>
          <w:b/>
          <w:sz w:val="22"/>
          <w:szCs w:val="22"/>
          <w:lang w:eastAsia="en-GB"/>
        </w:rPr>
        <w:t xml:space="preserve">Education Access: </w:t>
      </w:r>
      <w:r w:rsidR="00E50482">
        <w:rPr>
          <w:rFonts w:ascii="Calibri" w:eastAsia="Times New Roman" w:hAnsi="Calibri" w:cs="Calibri"/>
          <w:b/>
          <w:sz w:val="22"/>
          <w:szCs w:val="22"/>
          <w:lang w:eastAsia="en-GB"/>
        </w:rPr>
        <w:t xml:space="preserve">June </w:t>
      </w:r>
      <w:r w:rsidRPr="005A6FAF">
        <w:rPr>
          <w:rFonts w:ascii="Calibri" w:eastAsia="Times New Roman" w:hAnsi="Calibri" w:cs="Calibri"/>
          <w:b/>
          <w:sz w:val="22"/>
          <w:szCs w:val="22"/>
          <w:lang w:eastAsia="en-GB"/>
        </w:rPr>
        <w:t>202</w:t>
      </w:r>
      <w:r w:rsidR="00E50482">
        <w:rPr>
          <w:rFonts w:ascii="Calibri" w:eastAsia="Times New Roman" w:hAnsi="Calibri" w:cs="Calibri"/>
          <w:b/>
          <w:sz w:val="22"/>
          <w:szCs w:val="22"/>
          <w:lang w:eastAsia="en-GB"/>
        </w:rPr>
        <w:t>5</w:t>
      </w:r>
    </w:p>
    <w:p w14:paraId="20EDAC1F" w14:textId="77777777" w:rsidR="002A36A0" w:rsidRPr="005A6FAF" w:rsidRDefault="002A36A0" w:rsidP="00D35685">
      <w:pPr>
        <w:spacing w:after="0" w:line="240" w:lineRule="auto"/>
        <w:jc w:val="both"/>
        <w:rPr>
          <w:rFonts w:ascii="Calibri" w:eastAsia="Times New Roman" w:hAnsi="Calibri" w:cs="Calibri"/>
          <w:b/>
          <w:sz w:val="22"/>
          <w:szCs w:val="22"/>
          <w:lang w:eastAsia="en-GB"/>
        </w:rPr>
      </w:pPr>
    </w:p>
    <w:p w14:paraId="348935DC" w14:textId="77777777" w:rsidR="002A36A0" w:rsidRPr="005A6FAF" w:rsidRDefault="002A36A0" w:rsidP="00D35685">
      <w:pPr>
        <w:spacing w:after="0" w:line="240" w:lineRule="auto"/>
        <w:jc w:val="both"/>
        <w:rPr>
          <w:rFonts w:ascii="Calibri" w:eastAsia="Times New Roman" w:hAnsi="Calibri" w:cs="Calibri"/>
          <w:b/>
          <w:sz w:val="22"/>
          <w:szCs w:val="22"/>
          <w:lang w:eastAsia="en-GB"/>
        </w:rPr>
      </w:pPr>
    </w:p>
    <w:p w14:paraId="5D4C248C" w14:textId="77777777" w:rsidR="002A36A0" w:rsidRPr="005A6FAF" w:rsidRDefault="002A36A0" w:rsidP="00D35685">
      <w:pPr>
        <w:spacing w:after="0" w:line="240" w:lineRule="auto"/>
        <w:jc w:val="both"/>
        <w:rPr>
          <w:rFonts w:ascii="Calibri" w:eastAsia="Times New Roman" w:hAnsi="Calibri" w:cs="Calibri"/>
          <w:b/>
          <w:sz w:val="22"/>
          <w:szCs w:val="22"/>
          <w:lang w:eastAsia="en-GB"/>
        </w:rPr>
      </w:pPr>
    </w:p>
    <w:p w14:paraId="510C1844" w14:textId="77777777" w:rsidR="002A36A0" w:rsidRPr="005A6FAF" w:rsidRDefault="002A36A0" w:rsidP="00D35685">
      <w:pPr>
        <w:spacing w:after="0" w:line="240" w:lineRule="auto"/>
        <w:jc w:val="both"/>
        <w:rPr>
          <w:rFonts w:ascii="Calibri" w:eastAsia="Times New Roman" w:hAnsi="Calibri" w:cs="Calibri"/>
          <w:b/>
          <w:sz w:val="22"/>
          <w:szCs w:val="22"/>
          <w:lang w:eastAsia="en-GB"/>
        </w:rPr>
      </w:pPr>
    </w:p>
    <w:p w14:paraId="564A1F22" w14:textId="77777777" w:rsidR="002A36A0" w:rsidRPr="005A6FAF" w:rsidRDefault="002A36A0" w:rsidP="00D35685">
      <w:pPr>
        <w:spacing w:after="0" w:line="240" w:lineRule="auto"/>
        <w:jc w:val="both"/>
        <w:rPr>
          <w:rFonts w:ascii="Calibri" w:eastAsia="Times New Roman" w:hAnsi="Calibri" w:cs="Calibri"/>
          <w:b/>
          <w:sz w:val="22"/>
          <w:szCs w:val="22"/>
          <w:lang w:eastAsia="en-GB"/>
        </w:rPr>
      </w:pPr>
    </w:p>
    <w:p w14:paraId="355821F0" w14:textId="77777777" w:rsidR="002A36A0" w:rsidRPr="005A6FAF" w:rsidRDefault="002A36A0" w:rsidP="00D35685">
      <w:pPr>
        <w:spacing w:after="0" w:line="240" w:lineRule="auto"/>
        <w:jc w:val="both"/>
        <w:rPr>
          <w:rFonts w:ascii="Calibri" w:eastAsia="Times New Roman" w:hAnsi="Calibri" w:cs="Calibri"/>
          <w:b/>
          <w:sz w:val="22"/>
          <w:szCs w:val="22"/>
          <w:lang w:eastAsia="en-GB"/>
        </w:rPr>
      </w:pPr>
    </w:p>
    <w:p w14:paraId="4BC93AF0" w14:textId="77777777" w:rsidR="002A36A0" w:rsidRPr="005A6FAF" w:rsidRDefault="002A36A0" w:rsidP="00D35685">
      <w:pPr>
        <w:spacing w:after="0" w:line="240" w:lineRule="auto"/>
        <w:jc w:val="both"/>
        <w:rPr>
          <w:rFonts w:ascii="Calibri" w:eastAsia="Times New Roman" w:hAnsi="Calibri" w:cs="Calibri"/>
          <w:b/>
          <w:sz w:val="22"/>
          <w:szCs w:val="22"/>
          <w:lang w:eastAsia="en-GB"/>
        </w:rPr>
      </w:pPr>
    </w:p>
    <w:p w14:paraId="14ED6F32" w14:textId="77777777" w:rsidR="002A36A0" w:rsidRPr="005A6FAF" w:rsidRDefault="002A36A0" w:rsidP="00D35685">
      <w:pPr>
        <w:spacing w:after="0" w:line="240" w:lineRule="auto"/>
        <w:jc w:val="both"/>
        <w:rPr>
          <w:rFonts w:ascii="Calibri" w:eastAsia="Times New Roman" w:hAnsi="Calibri" w:cs="Calibri"/>
          <w:b/>
          <w:sz w:val="22"/>
          <w:szCs w:val="22"/>
          <w:lang w:eastAsia="en-GB"/>
        </w:rPr>
      </w:pPr>
    </w:p>
    <w:p w14:paraId="4D01C926" w14:textId="77777777" w:rsidR="00297EA9" w:rsidRDefault="00297EA9" w:rsidP="00297EA9">
      <w:pPr>
        <w:spacing w:afterLines="200" w:after="480"/>
        <w:contextualSpacing/>
        <w:rPr>
          <w:rFonts w:ascii="Calibri" w:eastAsia="Times New Roman" w:hAnsi="Calibri" w:cs="Calibri"/>
          <w:b/>
          <w:sz w:val="22"/>
          <w:szCs w:val="22"/>
          <w:lang w:eastAsia="en-GB"/>
        </w:rPr>
      </w:pPr>
    </w:p>
    <w:p w14:paraId="4297F3F5" w14:textId="77777777" w:rsidR="00E50482" w:rsidRDefault="00E50482" w:rsidP="00297EA9">
      <w:pPr>
        <w:spacing w:afterLines="200" w:after="480"/>
        <w:ind w:firstLine="142"/>
        <w:contextualSpacing/>
        <w:rPr>
          <w:rFonts w:ascii="Calibri" w:eastAsiaTheme="minorHAnsi" w:hAnsi="Calibri" w:cs="Calibri"/>
          <w:b/>
          <w:bCs/>
          <w:sz w:val="28"/>
          <w:szCs w:val="28"/>
        </w:rPr>
      </w:pPr>
    </w:p>
    <w:p w14:paraId="1BD05051" w14:textId="77777777" w:rsidR="00E50482" w:rsidRDefault="00E50482" w:rsidP="00297EA9">
      <w:pPr>
        <w:spacing w:afterLines="200" w:after="480"/>
        <w:ind w:firstLine="142"/>
        <w:contextualSpacing/>
        <w:rPr>
          <w:rFonts w:ascii="Calibri" w:eastAsiaTheme="minorHAnsi" w:hAnsi="Calibri" w:cs="Calibri"/>
          <w:b/>
          <w:bCs/>
          <w:sz w:val="28"/>
          <w:szCs w:val="28"/>
        </w:rPr>
      </w:pPr>
    </w:p>
    <w:p w14:paraId="63541566" w14:textId="5A76D4D8" w:rsidR="007C1BEA" w:rsidRPr="00E74C2C" w:rsidRDefault="005A6FAF" w:rsidP="00297EA9">
      <w:pPr>
        <w:spacing w:afterLines="200" w:after="480"/>
        <w:ind w:firstLine="142"/>
        <w:contextualSpacing/>
        <w:rPr>
          <w:rFonts w:ascii="Calibri" w:eastAsiaTheme="minorHAnsi" w:hAnsi="Calibri" w:cs="Calibri"/>
          <w:b/>
          <w:bCs/>
          <w:sz w:val="28"/>
          <w:szCs w:val="28"/>
        </w:rPr>
      </w:pPr>
      <w:r w:rsidRPr="005A6FAF">
        <w:rPr>
          <w:rFonts w:ascii="Calibri" w:eastAsiaTheme="minorHAnsi" w:hAnsi="Calibri" w:cs="Calibri"/>
          <w:b/>
          <w:bCs/>
          <w:sz w:val="28"/>
          <w:szCs w:val="28"/>
        </w:rPr>
        <w:lastRenderedPageBreak/>
        <w:t>Ov</w:t>
      </w:r>
      <w:r w:rsidR="00E74C2C">
        <w:rPr>
          <w:rFonts w:ascii="Calibri" w:eastAsiaTheme="minorHAnsi" w:hAnsi="Calibri" w:cs="Calibri"/>
          <w:b/>
          <w:bCs/>
          <w:sz w:val="28"/>
          <w:szCs w:val="28"/>
        </w:rPr>
        <w:t>e</w:t>
      </w:r>
      <w:r w:rsidRPr="005A6FAF">
        <w:rPr>
          <w:rFonts w:ascii="Calibri" w:eastAsiaTheme="minorHAnsi" w:hAnsi="Calibri" w:cs="Calibri"/>
          <w:b/>
          <w:bCs/>
          <w:sz w:val="28"/>
          <w:szCs w:val="28"/>
        </w:rPr>
        <w:t xml:space="preserve">rview </w:t>
      </w:r>
    </w:p>
    <w:p w14:paraId="24ABDD19" w14:textId="6ED02B68" w:rsidR="00AB4A2B" w:rsidRPr="00EE7CA6" w:rsidRDefault="007C1BEA" w:rsidP="0061467D">
      <w:pPr>
        <w:pStyle w:val="ListParagraph"/>
        <w:numPr>
          <w:ilvl w:val="0"/>
          <w:numId w:val="16"/>
        </w:numPr>
        <w:spacing w:afterLines="200" w:after="480"/>
        <w:ind w:left="499" w:hanging="357"/>
        <w:rPr>
          <w:rFonts w:ascii="Calibri" w:eastAsiaTheme="minorHAnsi" w:hAnsi="Calibri" w:cs="Calibri"/>
          <w:b/>
          <w:bCs/>
          <w:sz w:val="24"/>
          <w:szCs w:val="24"/>
          <w:u w:val="single"/>
        </w:rPr>
      </w:pPr>
      <w:r w:rsidRPr="00EE7CA6">
        <w:rPr>
          <w:rFonts w:ascii="Calibri" w:eastAsiaTheme="minorHAnsi" w:hAnsi="Calibri" w:cs="Calibri"/>
        </w:rPr>
        <w:t>The Local Authority (LA) has a statutory duty under Section 19 of the Education Act 1996 to p</w:t>
      </w:r>
      <w:r w:rsidR="00EE7CA6" w:rsidRPr="00EE7CA6">
        <w:rPr>
          <w:rFonts w:ascii="Calibri" w:eastAsiaTheme="minorHAnsi" w:hAnsi="Calibri" w:cs="Calibri"/>
        </w:rPr>
        <w:t>rovide</w:t>
      </w:r>
      <w:r w:rsidR="00EE7CA6" w:rsidRPr="00EE7CA6">
        <w:rPr>
          <w:rFonts w:ascii="Calibri" w:hAnsi="Calibri" w:cs="Calibri"/>
          <w:color w:val="1E1E1E"/>
          <w:shd w:val="clear" w:color="auto" w:fill="FFFFFF"/>
        </w:rPr>
        <w:t xml:space="preserve"> suitable education at school or otherwise than at school for those children of compulsory school age who, by reason of illness, exclusion from school or otherwise, may not for any period receive suitable education unless such arrangements are made for them.</w:t>
      </w:r>
      <w:r w:rsidRPr="00EE7CA6">
        <w:rPr>
          <w:rFonts w:ascii="Calibri" w:eastAsiaTheme="minorHAnsi" w:hAnsi="Calibri" w:cs="Calibri"/>
          <w:color w:val="FF0000"/>
        </w:rPr>
        <w:t xml:space="preserve">  </w:t>
      </w:r>
    </w:p>
    <w:p w14:paraId="691234B9" w14:textId="77777777" w:rsidR="00EE7CA6" w:rsidRPr="00EE7CA6" w:rsidRDefault="00EE7CA6" w:rsidP="0061467D">
      <w:pPr>
        <w:pStyle w:val="ListParagraph"/>
        <w:spacing w:afterLines="200" w:after="480"/>
        <w:ind w:left="499" w:hanging="357"/>
        <w:rPr>
          <w:rFonts w:ascii="Calibri" w:eastAsiaTheme="minorHAnsi" w:hAnsi="Calibri" w:cs="Calibri"/>
          <w:b/>
          <w:bCs/>
          <w:sz w:val="24"/>
          <w:szCs w:val="24"/>
          <w:u w:val="single"/>
        </w:rPr>
      </w:pPr>
    </w:p>
    <w:p w14:paraId="4F31A4A6" w14:textId="76C0E318" w:rsidR="00EE7CA6" w:rsidRPr="00EE7CA6" w:rsidRDefault="00FB7000" w:rsidP="0061467D">
      <w:pPr>
        <w:pStyle w:val="ListParagraph"/>
        <w:numPr>
          <w:ilvl w:val="0"/>
          <w:numId w:val="16"/>
        </w:numPr>
        <w:spacing w:afterLines="200" w:after="480"/>
        <w:ind w:left="499" w:hanging="357"/>
        <w:rPr>
          <w:rFonts w:ascii="Calibri" w:eastAsiaTheme="minorHAnsi" w:hAnsi="Calibri" w:cs="Calibri"/>
          <w:b/>
          <w:bCs/>
          <w:color w:val="000000" w:themeColor="text1"/>
          <w:sz w:val="24"/>
          <w:szCs w:val="24"/>
          <w:u w:val="single"/>
        </w:rPr>
      </w:pPr>
      <w:r>
        <w:rPr>
          <w:rFonts w:ascii="Calibri" w:eastAsiaTheme="minorHAnsi" w:hAnsi="Calibri" w:cs="Calibri"/>
          <w:color w:val="000000" w:themeColor="text1"/>
        </w:rPr>
        <w:t>T</w:t>
      </w:r>
      <w:r w:rsidR="00EE7CA6" w:rsidRPr="00EE7CA6">
        <w:rPr>
          <w:rFonts w:ascii="Calibri" w:eastAsiaTheme="minorHAnsi" w:hAnsi="Calibri" w:cs="Calibri"/>
          <w:color w:val="000000" w:themeColor="text1"/>
        </w:rPr>
        <w:t xml:space="preserve">he Education Access Team can offer </w:t>
      </w:r>
      <w:r>
        <w:rPr>
          <w:rFonts w:ascii="Calibri" w:eastAsiaTheme="minorHAnsi" w:hAnsi="Calibri" w:cs="Calibri"/>
          <w:color w:val="000000" w:themeColor="text1"/>
        </w:rPr>
        <w:t xml:space="preserve">a ‘request for </w:t>
      </w:r>
      <w:r w:rsidR="00EE7CA6" w:rsidRPr="00EE7CA6">
        <w:rPr>
          <w:rFonts w:ascii="Calibri" w:eastAsiaTheme="minorHAnsi" w:hAnsi="Calibri" w:cs="Calibri"/>
          <w:color w:val="000000" w:themeColor="text1"/>
        </w:rPr>
        <w:t>support</w:t>
      </w:r>
      <w:r>
        <w:rPr>
          <w:rFonts w:ascii="Calibri" w:eastAsiaTheme="minorHAnsi" w:hAnsi="Calibri" w:cs="Calibri"/>
          <w:color w:val="000000" w:themeColor="text1"/>
        </w:rPr>
        <w:t>’</w:t>
      </w:r>
      <w:r w:rsidR="00EE7CA6" w:rsidRPr="00EE7CA6">
        <w:rPr>
          <w:rFonts w:ascii="Calibri" w:eastAsiaTheme="minorHAnsi" w:hAnsi="Calibri" w:cs="Calibri"/>
          <w:color w:val="000000" w:themeColor="text1"/>
        </w:rPr>
        <w:t xml:space="preserve"> to schools </w:t>
      </w:r>
      <w:r w:rsidR="00EE7CA6">
        <w:rPr>
          <w:rFonts w:ascii="Calibri" w:eastAsiaTheme="minorHAnsi" w:hAnsi="Calibri" w:cs="Calibri"/>
          <w:color w:val="000000" w:themeColor="text1"/>
        </w:rPr>
        <w:t xml:space="preserve">where evidence indicates that the LA Section 19 </w:t>
      </w:r>
      <w:r w:rsidR="00B4490C">
        <w:rPr>
          <w:rFonts w:ascii="Calibri" w:eastAsiaTheme="minorHAnsi" w:hAnsi="Calibri" w:cs="Calibri"/>
          <w:color w:val="000000" w:themeColor="text1"/>
        </w:rPr>
        <w:t>d</w:t>
      </w:r>
      <w:r w:rsidR="00EE7CA6">
        <w:rPr>
          <w:rFonts w:ascii="Calibri" w:eastAsiaTheme="minorHAnsi" w:hAnsi="Calibri" w:cs="Calibri"/>
          <w:color w:val="000000" w:themeColor="text1"/>
        </w:rPr>
        <w:t>uty is likely to be triggered without such intervention</w:t>
      </w:r>
      <w:r>
        <w:rPr>
          <w:rFonts w:ascii="Calibri" w:eastAsiaTheme="minorHAnsi" w:hAnsi="Calibri" w:cs="Calibri"/>
          <w:color w:val="000000" w:themeColor="text1"/>
        </w:rPr>
        <w:t xml:space="preserve">. </w:t>
      </w:r>
    </w:p>
    <w:p w14:paraId="112C25F6" w14:textId="77777777" w:rsidR="00EE7CA6" w:rsidRPr="00EE7CA6" w:rsidRDefault="00EE7CA6" w:rsidP="0061467D">
      <w:pPr>
        <w:pStyle w:val="ListParagraph"/>
        <w:spacing w:afterLines="200" w:after="480"/>
        <w:ind w:left="499" w:hanging="357"/>
        <w:rPr>
          <w:rFonts w:ascii="Calibri" w:eastAsiaTheme="minorHAnsi" w:hAnsi="Calibri" w:cs="Calibri"/>
          <w:b/>
          <w:bCs/>
          <w:sz w:val="24"/>
          <w:szCs w:val="24"/>
          <w:u w:val="single"/>
        </w:rPr>
      </w:pPr>
    </w:p>
    <w:p w14:paraId="3D52163E" w14:textId="589C8B93" w:rsidR="00EE7CA6" w:rsidRPr="00B4490C" w:rsidRDefault="00FB7000" w:rsidP="0061467D">
      <w:pPr>
        <w:pStyle w:val="ListParagraph"/>
        <w:numPr>
          <w:ilvl w:val="0"/>
          <w:numId w:val="16"/>
        </w:numPr>
        <w:spacing w:afterLines="200" w:after="480"/>
        <w:ind w:left="499" w:hanging="357"/>
        <w:rPr>
          <w:rFonts w:ascii="Calibri" w:eastAsiaTheme="minorHAnsi" w:hAnsi="Calibri" w:cs="Calibri"/>
          <w:b/>
          <w:bCs/>
          <w:sz w:val="24"/>
          <w:szCs w:val="24"/>
          <w:u w:val="single"/>
        </w:rPr>
      </w:pPr>
      <w:r>
        <w:rPr>
          <w:rFonts w:ascii="Calibri" w:eastAsiaTheme="minorHAnsi" w:hAnsi="Calibri" w:cs="Calibri"/>
        </w:rPr>
        <w:t xml:space="preserve">The Request for Support encompasses three referral pathways. </w:t>
      </w:r>
      <w:r w:rsidR="00B4490C">
        <w:rPr>
          <w:rFonts w:ascii="Calibri" w:eastAsiaTheme="minorHAnsi" w:hAnsi="Calibri" w:cs="Calibri"/>
        </w:rPr>
        <w:t xml:space="preserve">The distinction between </w:t>
      </w:r>
      <w:r>
        <w:rPr>
          <w:rFonts w:ascii="Calibri" w:eastAsiaTheme="minorHAnsi" w:hAnsi="Calibri" w:cs="Calibri"/>
        </w:rPr>
        <w:t xml:space="preserve">each referral route </w:t>
      </w:r>
      <w:r w:rsidR="00B4490C">
        <w:rPr>
          <w:rFonts w:ascii="Calibri" w:eastAsiaTheme="minorHAnsi" w:hAnsi="Calibri" w:cs="Calibri"/>
        </w:rPr>
        <w:t xml:space="preserve">is summarised below: </w:t>
      </w:r>
    </w:p>
    <w:p w14:paraId="5122F2C1" w14:textId="77777777" w:rsidR="00B4490C" w:rsidRPr="00B4490C" w:rsidRDefault="00B4490C" w:rsidP="0061467D">
      <w:pPr>
        <w:pStyle w:val="ListParagraph"/>
        <w:spacing w:afterLines="200" w:after="480"/>
        <w:ind w:left="499" w:hanging="357"/>
        <w:rPr>
          <w:rFonts w:ascii="Calibri" w:eastAsiaTheme="minorHAnsi" w:hAnsi="Calibri" w:cs="Calibri"/>
          <w:b/>
          <w:bCs/>
          <w:sz w:val="24"/>
          <w:szCs w:val="24"/>
          <w:u w:val="single"/>
        </w:rPr>
      </w:pPr>
    </w:p>
    <w:p w14:paraId="162945DC" w14:textId="1B43AB0E" w:rsidR="00FB7000" w:rsidRPr="00FB7000" w:rsidRDefault="00FB7000" w:rsidP="00297EA9">
      <w:pPr>
        <w:pStyle w:val="ListParagraph"/>
        <w:numPr>
          <w:ilvl w:val="1"/>
          <w:numId w:val="16"/>
        </w:numPr>
        <w:spacing w:afterLines="200" w:after="480"/>
        <w:rPr>
          <w:rFonts w:ascii="Calibri" w:eastAsiaTheme="minorHAnsi" w:hAnsi="Calibri" w:cs="Calibri"/>
          <w:b/>
          <w:bCs/>
        </w:rPr>
      </w:pPr>
      <w:r w:rsidRPr="00FB7000">
        <w:rPr>
          <w:rFonts w:ascii="Calibri" w:eastAsiaTheme="minorHAnsi" w:hAnsi="Calibri" w:cs="Calibri"/>
          <w:b/>
          <w:bCs/>
        </w:rPr>
        <w:t xml:space="preserve">PRU </w:t>
      </w:r>
      <w:r>
        <w:rPr>
          <w:rFonts w:ascii="Calibri" w:eastAsiaTheme="minorHAnsi" w:hAnsi="Calibri" w:cs="Calibri"/>
          <w:b/>
          <w:bCs/>
        </w:rPr>
        <w:t xml:space="preserve">placement </w:t>
      </w:r>
      <w:r>
        <w:rPr>
          <w:rFonts w:ascii="Calibri" w:eastAsiaTheme="minorHAnsi" w:hAnsi="Calibri" w:cs="Calibri"/>
        </w:rPr>
        <w:t>a request for a short-term placement at the Pupil Referral Unit.</w:t>
      </w:r>
    </w:p>
    <w:p w14:paraId="4CBDDC54" w14:textId="590B00C4" w:rsidR="00ED344F" w:rsidRPr="00297EA9" w:rsidRDefault="00B4490C" w:rsidP="00297EA9">
      <w:pPr>
        <w:pStyle w:val="ListParagraph"/>
        <w:numPr>
          <w:ilvl w:val="1"/>
          <w:numId w:val="16"/>
        </w:numPr>
        <w:spacing w:afterLines="200" w:after="480"/>
        <w:rPr>
          <w:rFonts w:ascii="Calibri" w:eastAsiaTheme="minorHAnsi" w:hAnsi="Calibri" w:cs="Calibri"/>
          <w:b/>
          <w:bCs/>
          <w:sz w:val="24"/>
          <w:szCs w:val="24"/>
          <w:u w:val="single"/>
        </w:rPr>
      </w:pPr>
      <w:r w:rsidRPr="00B4490C">
        <w:rPr>
          <w:rFonts w:ascii="Calibri" w:eastAsiaTheme="minorHAnsi" w:hAnsi="Calibri" w:cs="Calibri"/>
          <w:b/>
          <w:bCs/>
        </w:rPr>
        <w:t>Exceptional funding</w:t>
      </w:r>
      <w:r>
        <w:rPr>
          <w:rFonts w:ascii="Calibri" w:eastAsiaTheme="minorHAnsi" w:hAnsi="Calibri" w:cs="Calibri"/>
        </w:rPr>
        <w:t xml:space="preserve"> is a request for an intervention or provision that is suitable to the pupil’s age ability, aptitude, and any SEN, that</w:t>
      </w:r>
      <w:r w:rsidR="00ED344F">
        <w:rPr>
          <w:rFonts w:ascii="Calibri" w:eastAsiaTheme="minorHAnsi" w:hAnsi="Calibri" w:cs="Calibri"/>
        </w:rPr>
        <w:t>:</w:t>
      </w:r>
    </w:p>
    <w:p w14:paraId="2380E8C6" w14:textId="5D68DBD6" w:rsidR="00ED344F" w:rsidRPr="00297EA9" w:rsidRDefault="00ED344F" w:rsidP="00297EA9">
      <w:pPr>
        <w:pStyle w:val="ListParagraph"/>
        <w:numPr>
          <w:ilvl w:val="2"/>
          <w:numId w:val="16"/>
        </w:numPr>
        <w:spacing w:afterLines="200" w:after="480"/>
        <w:rPr>
          <w:rFonts w:ascii="Calibri" w:eastAsiaTheme="minorHAnsi" w:hAnsi="Calibri" w:cs="Calibri"/>
          <w:b/>
          <w:bCs/>
          <w:sz w:val="24"/>
          <w:szCs w:val="24"/>
          <w:u w:val="single"/>
        </w:rPr>
      </w:pPr>
      <w:r w:rsidRPr="00297EA9">
        <w:rPr>
          <w:rFonts w:ascii="Calibri" w:eastAsiaTheme="minorHAnsi" w:hAnsi="Calibri" w:cs="Calibri"/>
        </w:rPr>
        <w:t>cannot be guaranteed via the LA’s commissioning pathways, or</w:t>
      </w:r>
    </w:p>
    <w:p w14:paraId="16E27B7F" w14:textId="0B03EC43" w:rsidR="00B4490C" w:rsidRPr="00297EA9" w:rsidRDefault="00B4490C" w:rsidP="00297EA9">
      <w:pPr>
        <w:pStyle w:val="ListParagraph"/>
        <w:numPr>
          <w:ilvl w:val="2"/>
          <w:numId w:val="16"/>
        </w:numPr>
        <w:spacing w:afterLines="200" w:after="480"/>
        <w:rPr>
          <w:rFonts w:ascii="Calibri" w:eastAsiaTheme="minorHAnsi" w:hAnsi="Calibri" w:cs="Calibri"/>
          <w:b/>
          <w:bCs/>
          <w:sz w:val="24"/>
          <w:szCs w:val="24"/>
          <w:u w:val="single"/>
        </w:rPr>
      </w:pPr>
      <w:r w:rsidRPr="00297EA9">
        <w:rPr>
          <w:rFonts w:ascii="Calibri" w:eastAsiaTheme="minorHAnsi" w:hAnsi="Calibri" w:cs="Calibri"/>
        </w:rPr>
        <w:t xml:space="preserve">is not otherwise available via the LA’s commissioning pathways.  </w:t>
      </w:r>
    </w:p>
    <w:p w14:paraId="570ED85E" w14:textId="5D3D5DA0" w:rsidR="00B4490C" w:rsidRPr="009A76A5" w:rsidRDefault="00B4490C" w:rsidP="00297EA9">
      <w:pPr>
        <w:pStyle w:val="ListParagraph"/>
        <w:numPr>
          <w:ilvl w:val="1"/>
          <w:numId w:val="16"/>
        </w:numPr>
        <w:spacing w:afterLines="200" w:after="480"/>
        <w:rPr>
          <w:rFonts w:ascii="Calibri" w:eastAsiaTheme="minorHAnsi" w:hAnsi="Calibri" w:cs="Calibri"/>
          <w:b/>
          <w:bCs/>
          <w:sz w:val="24"/>
          <w:szCs w:val="24"/>
          <w:u w:val="single"/>
        </w:rPr>
      </w:pPr>
      <w:r w:rsidRPr="00B4490C">
        <w:rPr>
          <w:rFonts w:ascii="Calibri" w:eastAsiaTheme="minorHAnsi" w:hAnsi="Calibri" w:cs="Calibri"/>
          <w:b/>
          <w:bCs/>
        </w:rPr>
        <w:t xml:space="preserve">Exceptional provision </w:t>
      </w:r>
      <w:r>
        <w:rPr>
          <w:rFonts w:ascii="Calibri" w:eastAsiaTheme="minorHAnsi" w:hAnsi="Calibri" w:cs="Calibri"/>
        </w:rPr>
        <w:t xml:space="preserve">is a request for support through the </w:t>
      </w:r>
      <w:r w:rsidRPr="00B4490C">
        <w:rPr>
          <w:rFonts w:ascii="Calibri" w:eastAsiaTheme="minorHAnsi" w:hAnsi="Calibri" w:cs="Calibri"/>
        </w:rPr>
        <w:t>LA</w:t>
      </w:r>
      <w:r>
        <w:rPr>
          <w:rFonts w:ascii="Calibri" w:eastAsiaTheme="minorHAnsi" w:hAnsi="Calibri" w:cs="Calibri"/>
        </w:rPr>
        <w:t>’</w:t>
      </w:r>
      <w:r w:rsidRPr="00B4490C">
        <w:rPr>
          <w:rFonts w:ascii="Calibri" w:eastAsiaTheme="minorHAnsi" w:hAnsi="Calibri" w:cs="Calibri"/>
        </w:rPr>
        <w:t xml:space="preserve">s commissioned </w:t>
      </w:r>
      <w:r>
        <w:rPr>
          <w:rFonts w:ascii="Calibri" w:eastAsiaTheme="minorHAnsi" w:hAnsi="Calibri" w:cs="Calibri"/>
        </w:rPr>
        <w:t>IPES framework</w:t>
      </w:r>
      <w:r w:rsidRPr="00B4490C">
        <w:rPr>
          <w:rFonts w:ascii="Calibri" w:eastAsiaTheme="minorHAnsi" w:hAnsi="Calibri" w:cs="Calibri"/>
        </w:rPr>
        <w:t xml:space="preserve"> for a </w:t>
      </w:r>
      <w:r>
        <w:rPr>
          <w:rFonts w:ascii="Calibri" w:eastAsiaTheme="minorHAnsi" w:hAnsi="Calibri" w:cs="Calibri"/>
        </w:rPr>
        <w:t>pupil</w:t>
      </w:r>
      <w:r w:rsidRPr="00B4490C">
        <w:rPr>
          <w:rFonts w:ascii="Calibri" w:eastAsiaTheme="minorHAnsi" w:hAnsi="Calibri" w:cs="Calibri"/>
        </w:rPr>
        <w:t xml:space="preserve"> who </w:t>
      </w:r>
      <w:r w:rsidR="00ED344F">
        <w:rPr>
          <w:rFonts w:ascii="Calibri" w:eastAsiaTheme="minorHAnsi" w:hAnsi="Calibri" w:cs="Calibri"/>
        </w:rPr>
        <w:t>is likely to trigger the LA’s section 19 threshold</w:t>
      </w:r>
      <w:r w:rsidRPr="00B4490C">
        <w:rPr>
          <w:rFonts w:ascii="Calibri" w:eastAsiaTheme="minorHAnsi" w:hAnsi="Calibri" w:cs="Calibri"/>
        </w:rPr>
        <w:t xml:space="preserve">. </w:t>
      </w:r>
    </w:p>
    <w:p w14:paraId="2BB7F666" w14:textId="77777777" w:rsidR="009A76A5" w:rsidRPr="00B4490C" w:rsidRDefault="009A76A5" w:rsidP="0061467D">
      <w:pPr>
        <w:pStyle w:val="ListParagraph"/>
        <w:spacing w:afterLines="200" w:after="480"/>
        <w:ind w:left="499" w:hanging="357"/>
        <w:rPr>
          <w:rFonts w:ascii="Calibri" w:eastAsiaTheme="minorHAnsi" w:hAnsi="Calibri" w:cs="Calibri"/>
          <w:b/>
          <w:bCs/>
          <w:sz w:val="24"/>
          <w:szCs w:val="24"/>
          <w:u w:val="single"/>
        </w:rPr>
      </w:pPr>
    </w:p>
    <w:p w14:paraId="50EF28AF" w14:textId="4D96B9B2" w:rsidR="00E74C2C" w:rsidRPr="00297EA9" w:rsidRDefault="00FB7000" w:rsidP="00297EA9">
      <w:pPr>
        <w:pStyle w:val="ListParagraph"/>
        <w:numPr>
          <w:ilvl w:val="0"/>
          <w:numId w:val="16"/>
        </w:numPr>
        <w:spacing w:afterLines="200" w:after="480"/>
        <w:ind w:left="499" w:hanging="357"/>
        <w:rPr>
          <w:rFonts w:ascii="Calibri" w:eastAsiaTheme="minorHAnsi" w:hAnsi="Calibri" w:cs="Calibri"/>
          <w:b/>
          <w:bCs/>
          <w:sz w:val="24"/>
          <w:szCs w:val="24"/>
          <w:u w:val="single"/>
        </w:rPr>
      </w:pPr>
      <w:r>
        <w:rPr>
          <w:rFonts w:ascii="Calibri" w:eastAsiaTheme="minorHAnsi" w:hAnsi="Calibri" w:cs="Calibri"/>
        </w:rPr>
        <w:t xml:space="preserve">All referral pathways are intended as short-term interventions, with the aim of supporting reintegration back to the referring school. </w:t>
      </w:r>
    </w:p>
    <w:p w14:paraId="31779D94" w14:textId="0BD16526" w:rsidR="00567132" w:rsidRDefault="00567132" w:rsidP="00297EA9">
      <w:pPr>
        <w:spacing w:afterLines="200" w:after="480"/>
        <w:ind w:firstLine="142"/>
        <w:contextualSpacing/>
        <w:rPr>
          <w:rFonts w:ascii="Calibri" w:eastAsiaTheme="minorHAnsi" w:hAnsi="Calibri" w:cs="Calibri"/>
          <w:b/>
          <w:bCs/>
          <w:sz w:val="28"/>
          <w:szCs w:val="28"/>
        </w:rPr>
      </w:pPr>
      <w:r>
        <w:rPr>
          <w:rFonts w:ascii="Calibri" w:eastAsiaTheme="minorHAnsi" w:hAnsi="Calibri" w:cs="Calibri"/>
          <w:b/>
          <w:bCs/>
          <w:sz w:val="28"/>
          <w:szCs w:val="28"/>
        </w:rPr>
        <w:t>PRU placement</w:t>
      </w:r>
    </w:p>
    <w:p w14:paraId="2EFBDBF0" w14:textId="0F315863" w:rsidR="00567132" w:rsidRDefault="00567132" w:rsidP="00567132">
      <w:pPr>
        <w:spacing w:afterLines="200" w:after="480"/>
        <w:ind w:firstLine="142"/>
        <w:contextualSpacing/>
        <w:rPr>
          <w:rFonts w:ascii="Calibri" w:eastAsiaTheme="minorHAnsi" w:hAnsi="Calibri" w:cs="Calibri"/>
          <w:b/>
          <w:bCs/>
          <w:sz w:val="24"/>
          <w:szCs w:val="24"/>
        </w:rPr>
      </w:pPr>
      <w:r w:rsidRPr="00567132">
        <w:rPr>
          <w:rFonts w:ascii="Calibri" w:eastAsiaTheme="minorHAnsi" w:hAnsi="Calibri" w:cs="Calibri"/>
          <w:b/>
          <w:bCs/>
          <w:sz w:val="24"/>
          <w:szCs w:val="24"/>
        </w:rPr>
        <w:t xml:space="preserve">Threshold </w:t>
      </w:r>
    </w:p>
    <w:p w14:paraId="60FEAC93" w14:textId="3BED82E1" w:rsidR="00567132" w:rsidRPr="00567132" w:rsidRDefault="00567132" w:rsidP="00567132">
      <w:pPr>
        <w:pStyle w:val="ListParagraph"/>
        <w:numPr>
          <w:ilvl w:val="0"/>
          <w:numId w:val="16"/>
        </w:numPr>
        <w:rPr>
          <w:rFonts w:ascii="Arial" w:eastAsia="Arial" w:hAnsi="Arial" w:cs="Arial"/>
        </w:rPr>
      </w:pPr>
      <w:r w:rsidRPr="00567132">
        <w:rPr>
          <w:rFonts w:ascii="Calibri" w:eastAsia="Arial" w:hAnsi="Calibri" w:cs="Calibri"/>
        </w:rPr>
        <w:t>A request for support</w:t>
      </w:r>
      <w:r>
        <w:rPr>
          <w:rFonts w:ascii="Calibri" w:eastAsia="Arial" w:hAnsi="Calibri" w:cs="Calibri"/>
        </w:rPr>
        <w:t xml:space="preserve"> placement at the PRU</w:t>
      </w:r>
      <w:r w:rsidRPr="00567132">
        <w:rPr>
          <w:rFonts w:ascii="Calibri" w:eastAsia="Arial" w:hAnsi="Calibri" w:cs="Calibri"/>
        </w:rPr>
        <w:t xml:space="preserve"> is a non-punitive approach for </w:t>
      </w:r>
      <w:r>
        <w:rPr>
          <w:rFonts w:ascii="Calibri" w:eastAsia="Arial" w:hAnsi="Calibri" w:cs="Calibri"/>
        </w:rPr>
        <w:t>a pupil</w:t>
      </w:r>
      <w:r w:rsidRPr="00567132">
        <w:rPr>
          <w:rFonts w:ascii="Calibri" w:eastAsia="Arial" w:hAnsi="Calibri" w:cs="Calibri"/>
        </w:rPr>
        <w:t xml:space="preserve"> whose needs and circumstances have made them more vulnerable in their education setting. </w:t>
      </w:r>
    </w:p>
    <w:p w14:paraId="139AD998" w14:textId="77777777" w:rsidR="00567132" w:rsidRPr="00567132" w:rsidRDefault="00567132" w:rsidP="00567132">
      <w:pPr>
        <w:pStyle w:val="ListParagraph"/>
        <w:ind w:left="502"/>
        <w:rPr>
          <w:rFonts w:ascii="Arial" w:eastAsia="Arial" w:hAnsi="Arial" w:cs="Arial"/>
        </w:rPr>
      </w:pPr>
    </w:p>
    <w:p w14:paraId="41D28056" w14:textId="1F8CB356" w:rsidR="00B333C0" w:rsidRDefault="00567132" w:rsidP="00B333C0">
      <w:pPr>
        <w:pStyle w:val="ListParagraph"/>
        <w:numPr>
          <w:ilvl w:val="0"/>
          <w:numId w:val="16"/>
        </w:numPr>
        <w:rPr>
          <w:rFonts w:ascii="Arial" w:eastAsia="Arial" w:hAnsi="Arial" w:cs="Arial"/>
        </w:rPr>
      </w:pPr>
      <w:r w:rsidRPr="00567132">
        <w:rPr>
          <w:rFonts w:ascii="Calibri" w:eastAsia="Arial" w:hAnsi="Calibri" w:cs="Calibri"/>
        </w:rPr>
        <w:t xml:space="preserve">Schools will have already identified </w:t>
      </w:r>
      <w:r>
        <w:rPr>
          <w:rFonts w:ascii="Calibri" w:eastAsia="Arial" w:hAnsi="Calibri" w:cs="Calibri"/>
        </w:rPr>
        <w:t xml:space="preserve">the requirement for a </w:t>
      </w:r>
      <w:r w:rsidRPr="00567132">
        <w:rPr>
          <w:rFonts w:ascii="Calibri" w:eastAsia="Arial" w:hAnsi="Calibri" w:cs="Calibri"/>
        </w:rPr>
        <w:t xml:space="preserve">graduated approach </w:t>
      </w:r>
      <w:r>
        <w:rPr>
          <w:rFonts w:ascii="Calibri" w:eastAsia="Arial" w:hAnsi="Calibri" w:cs="Calibri"/>
        </w:rPr>
        <w:t xml:space="preserve">and will have been </w:t>
      </w:r>
      <w:r w:rsidRPr="00567132">
        <w:rPr>
          <w:rFonts w:ascii="Calibri" w:eastAsia="Arial" w:hAnsi="Calibri" w:cs="Calibri"/>
        </w:rPr>
        <w:t>providing intervention/support and involving wider services</w:t>
      </w:r>
      <w:r w:rsidRPr="00567132">
        <w:rPr>
          <w:rFonts w:ascii="Arial" w:eastAsia="Arial" w:hAnsi="Arial" w:cs="Arial"/>
        </w:rPr>
        <w:t>.</w:t>
      </w:r>
    </w:p>
    <w:p w14:paraId="55894F33" w14:textId="77777777" w:rsidR="00B333C0" w:rsidRPr="00B333C0" w:rsidRDefault="00B333C0" w:rsidP="00B333C0">
      <w:pPr>
        <w:pStyle w:val="ListParagraph"/>
        <w:rPr>
          <w:rFonts w:ascii="Arial" w:eastAsia="Arial" w:hAnsi="Arial" w:cs="Arial"/>
        </w:rPr>
      </w:pPr>
    </w:p>
    <w:p w14:paraId="765C7F37" w14:textId="65DE509A" w:rsidR="00B333C0" w:rsidRDefault="00B333C0" w:rsidP="00B333C0">
      <w:pPr>
        <w:pStyle w:val="ListParagraph"/>
        <w:numPr>
          <w:ilvl w:val="0"/>
          <w:numId w:val="16"/>
        </w:numPr>
        <w:spacing w:afterLines="200" w:after="480"/>
        <w:ind w:left="499" w:hanging="357"/>
        <w:rPr>
          <w:rStyle w:val="cf01"/>
          <w:rFonts w:ascii="Calibri" w:hAnsi="Calibri" w:cs="Calibri"/>
          <w:sz w:val="20"/>
          <w:szCs w:val="20"/>
        </w:rPr>
      </w:pPr>
      <w:r w:rsidRPr="00FB3C0C">
        <w:rPr>
          <w:rStyle w:val="cf01"/>
          <w:rFonts w:ascii="Calibri" w:hAnsi="Calibri" w:cs="Calibri"/>
          <w:sz w:val="20"/>
          <w:szCs w:val="20"/>
        </w:rPr>
        <w:t xml:space="preserve">Where </w:t>
      </w:r>
      <w:r>
        <w:rPr>
          <w:rStyle w:val="cf01"/>
          <w:rFonts w:ascii="Calibri" w:hAnsi="Calibri" w:cs="Calibri"/>
          <w:sz w:val="20"/>
          <w:szCs w:val="20"/>
        </w:rPr>
        <w:t>a request for support PRU placement</w:t>
      </w:r>
      <w:r w:rsidRPr="00FB3C0C">
        <w:rPr>
          <w:rStyle w:val="cf01"/>
          <w:rFonts w:ascii="Calibri" w:hAnsi="Calibri" w:cs="Calibri"/>
          <w:sz w:val="20"/>
          <w:szCs w:val="20"/>
        </w:rPr>
        <w:t xml:space="preserve"> is being sought for a pupil at risk of exclusion, parental consent must be sought prior to making the referral. The school and the Education Access team must act in accordance with statutory guidance and must ensure that the agreement does not constitute an illegal exclusion, with the parent/carer being denied their right to make representations to the governing board.</w:t>
      </w:r>
    </w:p>
    <w:p w14:paraId="7D0621F4" w14:textId="77777777" w:rsidR="00B333C0" w:rsidRPr="00B333C0" w:rsidRDefault="00B333C0" w:rsidP="00B333C0">
      <w:pPr>
        <w:pStyle w:val="ListParagraph"/>
        <w:rPr>
          <w:rFonts w:ascii="Calibri" w:hAnsi="Calibri" w:cs="Calibri"/>
        </w:rPr>
      </w:pPr>
    </w:p>
    <w:p w14:paraId="1A7D2957" w14:textId="77777777" w:rsidR="00D40A5C" w:rsidRDefault="00B333C0" w:rsidP="00B333C0">
      <w:pPr>
        <w:pStyle w:val="ListParagraph"/>
        <w:numPr>
          <w:ilvl w:val="0"/>
          <w:numId w:val="16"/>
        </w:numPr>
        <w:spacing w:afterLines="200" w:after="480"/>
        <w:ind w:left="499" w:hanging="357"/>
        <w:rPr>
          <w:rFonts w:ascii="Calibri" w:hAnsi="Calibri" w:cs="Calibri"/>
        </w:rPr>
      </w:pPr>
      <w:r w:rsidRPr="00B333C0">
        <w:rPr>
          <w:rFonts w:ascii="Calibri" w:hAnsi="Calibri" w:cs="Calibri"/>
        </w:rPr>
        <w:t xml:space="preserve">The referring school must commit providing </w:t>
      </w:r>
      <w:r>
        <w:rPr>
          <w:rFonts w:ascii="Calibri" w:hAnsi="Calibri" w:cs="Calibri"/>
        </w:rPr>
        <w:t xml:space="preserve">ongoing </w:t>
      </w:r>
      <w:r w:rsidRPr="00B333C0">
        <w:rPr>
          <w:rFonts w:ascii="Calibri" w:hAnsi="Calibri" w:cs="Calibri"/>
        </w:rPr>
        <w:t>support the pupil</w:t>
      </w:r>
      <w:r>
        <w:rPr>
          <w:rFonts w:ascii="Calibri" w:hAnsi="Calibri" w:cs="Calibri"/>
        </w:rPr>
        <w:t xml:space="preserve"> </w:t>
      </w:r>
      <w:r w:rsidR="00BF1D83">
        <w:rPr>
          <w:rFonts w:ascii="Calibri" w:hAnsi="Calibri" w:cs="Calibri"/>
        </w:rPr>
        <w:t>and</w:t>
      </w:r>
      <w:r>
        <w:rPr>
          <w:rFonts w:ascii="Calibri" w:hAnsi="Calibri" w:cs="Calibri"/>
        </w:rPr>
        <w:t xml:space="preserve"> ensure the pupil is kept in mind</w:t>
      </w:r>
      <w:r w:rsidR="00657740">
        <w:rPr>
          <w:rFonts w:ascii="Calibri" w:hAnsi="Calibri" w:cs="Calibri"/>
        </w:rPr>
        <w:t xml:space="preserve"> and continues to feel part of the school community</w:t>
      </w:r>
      <w:r>
        <w:rPr>
          <w:rFonts w:ascii="Calibri" w:hAnsi="Calibri" w:cs="Calibri"/>
        </w:rPr>
        <w:t xml:space="preserve">. </w:t>
      </w:r>
      <w:r w:rsidR="00BF1D83">
        <w:rPr>
          <w:rFonts w:ascii="Calibri" w:hAnsi="Calibri" w:cs="Calibri"/>
        </w:rPr>
        <w:t xml:space="preserve">Schools should </w:t>
      </w:r>
      <w:r w:rsidR="00D40A5C">
        <w:rPr>
          <w:rFonts w:ascii="Calibri" w:hAnsi="Calibri" w:cs="Calibri"/>
        </w:rPr>
        <w:t>plan to visit</w:t>
      </w:r>
      <w:r w:rsidR="00BF1D83">
        <w:rPr>
          <w:rFonts w:ascii="Calibri" w:hAnsi="Calibri" w:cs="Calibri"/>
        </w:rPr>
        <w:t xml:space="preserve"> the pupil at the PRU </w:t>
      </w:r>
      <w:r w:rsidRPr="00B333C0">
        <w:rPr>
          <w:rFonts w:ascii="Calibri" w:hAnsi="Calibri" w:cs="Calibri"/>
        </w:rPr>
        <w:t xml:space="preserve">so relationships can be maintained. </w:t>
      </w:r>
    </w:p>
    <w:p w14:paraId="4EA7B1AB" w14:textId="77777777" w:rsidR="00D40A5C" w:rsidRPr="00D40A5C" w:rsidRDefault="00D40A5C" w:rsidP="00D40A5C">
      <w:pPr>
        <w:pStyle w:val="ListParagraph"/>
        <w:rPr>
          <w:rFonts w:ascii="Calibri" w:hAnsi="Calibri" w:cs="Calibri"/>
        </w:rPr>
      </w:pPr>
    </w:p>
    <w:p w14:paraId="1E389DB0" w14:textId="01AB0F78" w:rsidR="00B333C0" w:rsidRDefault="00B333C0" w:rsidP="00B333C0">
      <w:pPr>
        <w:pStyle w:val="ListParagraph"/>
        <w:numPr>
          <w:ilvl w:val="0"/>
          <w:numId w:val="16"/>
        </w:numPr>
        <w:spacing w:afterLines="200" w:after="480"/>
        <w:ind w:left="499" w:hanging="357"/>
        <w:rPr>
          <w:rFonts w:ascii="Calibri" w:hAnsi="Calibri" w:cs="Calibri"/>
        </w:rPr>
      </w:pPr>
      <w:r w:rsidRPr="00B333C0">
        <w:rPr>
          <w:rFonts w:ascii="Calibri" w:hAnsi="Calibri" w:cs="Calibri"/>
        </w:rPr>
        <w:t xml:space="preserve">The referring school must </w:t>
      </w:r>
      <w:r w:rsidR="00BF1D83">
        <w:rPr>
          <w:rFonts w:ascii="Calibri" w:hAnsi="Calibri" w:cs="Calibri"/>
        </w:rPr>
        <w:t>attend all</w:t>
      </w:r>
      <w:r w:rsidRPr="00B333C0">
        <w:rPr>
          <w:rFonts w:ascii="Calibri" w:hAnsi="Calibri" w:cs="Calibri"/>
        </w:rPr>
        <w:t xml:space="preserve"> attending placement planning</w:t>
      </w:r>
      <w:r w:rsidR="00BF1D83">
        <w:rPr>
          <w:rFonts w:ascii="Calibri" w:hAnsi="Calibri" w:cs="Calibri"/>
        </w:rPr>
        <w:t xml:space="preserve"> </w:t>
      </w:r>
      <w:r w:rsidRPr="00B333C0">
        <w:rPr>
          <w:rFonts w:ascii="Calibri" w:hAnsi="Calibri" w:cs="Calibri"/>
        </w:rPr>
        <w:t xml:space="preserve">and review meetings to ensure that provision remains suitable and is working towards agreed placement objectives. </w:t>
      </w:r>
    </w:p>
    <w:p w14:paraId="6DB7FD92" w14:textId="77777777" w:rsidR="00B333C0" w:rsidRPr="00B333C0" w:rsidRDefault="00B333C0" w:rsidP="00B333C0">
      <w:pPr>
        <w:pStyle w:val="ListParagraph"/>
        <w:rPr>
          <w:rFonts w:ascii="Calibri" w:hAnsi="Calibri" w:cs="Calibri"/>
        </w:rPr>
      </w:pPr>
    </w:p>
    <w:p w14:paraId="5450FB31" w14:textId="4356B2F2" w:rsidR="00A04648" w:rsidRPr="00A04648" w:rsidRDefault="00B333C0" w:rsidP="00A04648">
      <w:pPr>
        <w:pStyle w:val="ListParagraph"/>
        <w:numPr>
          <w:ilvl w:val="0"/>
          <w:numId w:val="16"/>
        </w:numPr>
        <w:spacing w:afterLines="200" w:after="480" w:line="254" w:lineRule="auto"/>
        <w:rPr>
          <w:rFonts w:ascii="Arial" w:eastAsia="Arial" w:hAnsi="Arial" w:cs="Arial"/>
        </w:rPr>
      </w:pPr>
      <w:r w:rsidRPr="00B333C0">
        <w:rPr>
          <w:rFonts w:ascii="Calibri" w:hAnsi="Calibri" w:cs="Calibri"/>
        </w:rPr>
        <w:t xml:space="preserve">The referring school must actively support and encourage the pupil’s reintegration. A joint plan should be put in place outlining the support package and resources needed to help the </w:t>
      </w:r>
      <w:r>
        <w:rPr>
          <w:rFonts w:ascii="Calibri" w:hAnsi="Calibri" w:cs="Calibri"/>
        </w:rPr>
        <w:t>pupil</w:t>
      </w:r>
      <w:r w:rsidRPr="00B333C0">
        <w:rPr>
          <w:rFonts w:ascii="Calibri" w:hAnsi="Calibri" w:cs="Calibri"/>
        </w:rPr>
        <w:t xml:space="preserve"> to reintegrate back into mainstream schooling successfully.</w:t>
      </w:r>
      <w:r w:rsidR="00567132">
        <w:t xml:space="preserve"> </w:t>
      </w:r>
    </w:p>
    <w:p w14:paraId="3DF593A0" w14:textId="77777777" w:rsidR="00A04648" w:rsidRPr="00A04648" w:rsidRDefault="00A04648" w:rsidP="00A04648">
      <w:pPr>
        <w:pStyle w:val="ListParagraph"/>
        <w:rPr>
          <w:rFonts w:ascii="Arial" w:eastAsia="Arial" w:hAnsi="Arial" w:cs="Arial"/>
        </w:rPr>
      </w:pPr>
    </w:p>
    <w:p w14:paraId="107FC535" w14:textId="64FDD268" w:rsidR="00567132" w:rsidRPr="00A92AF9" w:rsidRDefault="00A92AF9" w:rsidP="00A92AF9">
      <w:pPr>
        <w:spacing w:line="254" w:lineRule="auto"/>
        <w:rPr>
          <w:rFonts w:ascii="Arial" w:eastAsia="Arial" w:hAnsi="Arial" w:cs="Arial"/>
          <w:b/>
          <w:bCs/>
          <w:color w:val="000000"/>
          <w:sz w:val="24"/>
          <w:szCs w:val="24"/>
        </w:rPr>
      </w:pPr>
      <w:r>
        <w:rPr>
          <w:rFonts w:ascii="Arial" w:eastAsia="Arial" w:hAnsi="Arial" w:cs="Arial"/>
          <w:b/>
          <w:bCs/>
          <w:color w:val="000000" w:themeColor="text1"/>
        </w:rPr>
        <w:t xml:space="preserve">Accessing support </w:t>
      </w:r>
    </w:p>
    <w:p w14:paraId="5A6A15C3" w14:textId="21FF168B" w:rsidR="00A04648" w:rsidRPr="00025436" w:rsidRDefault="00A04648" w:rsidP="00A04648">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 xml:space="preserve">Schools are encouraged to speak with the Education Access team to ascertain whether the PRU has the capacity to consider a request for support placement. Schools may be directed to an alternative pathway if there is insufficient capacity at the PRU. </w:t>
      </w:r>
    </w:p>
    <w:p w14:paraId="7D0B0E9F" w14:textId="77777777" w:rsidR="00A04648" w:rsidRPr="00025436" w:rsidRDefault="00A04648" w:rsidP="00A04648">
      <w:pPr>
        <w:pStyle w:val="ListParagraph"/>
        <w:spacing w:afterLines="200" w:after="480"/>
        <w:ind w:left="499"/>
        <w:rPr>
          <w:rFonts w:ascii="Calibri" w:eastAsiaTheme="minorHAnsi" w:hAnsi="Calibri" w:cs="Calibri"/>
        </w:rPr>
      </w:pPr>
    </w:p>
    <w:p w14:paraId="5395CFDE" w14:textId="2F6627A1" w:rsidR="009B4E11" w:rsidRPr="00025436" w:rsidRDefault="009B4E11" w:rsidP="000047C4">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 xml:space="preserve">To access a request for support PRU placement, schools are required to complete the referral paperwork. Referral paperwork must be completed in full. </w:t>
      </w:r>
    </w:p>
    <w:p w14:paraId="31C00B0B" w14:textId="77777777" w:rsidR="009B4E11" w:rsidRPr="00025436" w:rsidRDefault="009B4E11" w:rsidP="009B4E11">
      <w:pPr>
        <w:pStyle w:val="ListParagraph"/>
        <w:spacing w:afterLines="200" w:after="480"/>
        <w:ind w:left="499"/>
        <w:rPr>
          <w:rFonts w:ascii="Calibri" w:eastAsiaTheme="minorHAnsi" w:hAnsi="Calibri" w:cs="Calibri"/>
        </w:rPr>
      </w:pPr>
    </w:p>
    <w:p w14:paraId="17A7FCAC" w14:textId="4653F1C8" w:rsidR="009B4E11" w:rsidRPr="00025436" w:rsidRDefault="009B4E11" w:rsidP="009B4E11">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The Education Access team will triage the referral paperwork to determine whether the request meets the threshold for further consideration at the quadrant panel meeting. The Education Access team will confirm the outcome of the request with the referring school.</w:t>
      </w:r>
    </w:p>
    <w:p w14:paraId="0DC93EF0" w14:textId="77777777" w:rsidR="009B4E11" w:rsidRPr="00025436" w:rsidRDefault="009B4E11" w:rsidP="009B4E11">
      <w:pPr>
        <w:pStyle w:val="ListParagraph"/>
        <w:rPr>
          <w:rFonts w:ascii="Calibri" w:eastAsiaTheme="minorHAnsi" w:hAnsi="Calibri" w:cs="Calibri"/>
        </w:rPr>
      </w:pPr>
    </w:p>
    <w:p w14:paraId="63C44C4C" w14:textId="2CE3D78C" w:rsidR="009B4E11" w:rsidRPr="00025436" w:rsidRDefault="00952A64" w:rsidP="009B4E11">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For referrals from</w:t>
      </w:r>
      <w:r w:rsidR="00126390" w:rsidRPr="00025436">
        <w:rPr>
          <w:rFonts w:ascii="Calibri" w:eastAsiaTheme="minorHAnsi" w:hAnsi="Calibri" w:cs="Calibri"/>
        </w:rPr>
        <w:t xml:space="preserve"> secondary schools, t</w:t>
      </w:r>
      <w:r w:rsidR="009B4E11" w:rsidRPr="00025436">
        <w:rPr>
          <w:rFonts w:ascii="Calibri" w:eastAsiaTheme="minorHAnsi" w:hAnsi="Calibri" w:cs="Calibri"/>
        </w:rPr>
        <w:t>he school will be required to attend the quadrant panel meeting to present the case. Each panel will include representatives from the PRU, Education Access</w:t>
      </w:r>
      <w:r w:rsidR="00D40A5C" w:rsidRPr="00025436">
        <w:rPr>
          <w:rFonts w:ascii="Calibri" w:eastAsiaTheme="minorHAnsi" w:hAnsi="Calibri" w:cs="Calibri"/>
        </w:rPr>
        <w:t>, school representatives</w:t>
      </w:r>
      <w:r w:rsidR="009B4E11" w:rsidRPr="00025436">
        <w:rPr>
          <w:rFonts w:ascii="Calibri" w:eastAsiaTheme="minorHAnsi" w:hAnsi="Calibri" w:cs="Calibri"/>
        </w:rPr>
        <w:t xml:space="preserve"> and wider agencies. The outcome of the referral will be determined at panel and will include a rationale for the decision. </w:t>
      </w:r>
    </w:p>
    <w:p w14:paraId="311008B7" w14:textId="77777777" w:rsidR="00126390" w:rsidRPr="00025436" w:rsidRDefault="00126390" w:rsidP="00126390">
      <w:pPr>
        <w:pStyle w:val="ListParagraph"/>
        <w:rPr>
          <w:rFonts w:ascii="Calibri" w:eastAsiaTheme="minorHAnsi" w:hAnsi="Calibri" w:cs="Calibri"/>
        </w:rPr>
      </w:pPr>
    </w:p>
    <w:p w14:paraId="7BF99683" w14:textId="4CADEC2E" w:rsidR="00126390" w:rsidRPr="00025436" w:rsidRDefault="00126390" w:rsidP="009B4E11">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 xml:space="preserve">For referrals from primary schools, </w:t>
      </w:r>
      <w:r w:rsidR="00952A64" w:rsidRPr="00025436">
        <w:rPr>
          <w:rFonts w:ascii="Calibri" w:eastAsiaTheme="minorHAnsi" w:hAnsi="Calibri" w:cs="Calibri"/>
        </w:rPr>
        <w:t>the school will either be required to attend the quadrant panel meeting, where they are set up to consider such requests, or a separate meeting</w:t>
      </w:r>
      <w:r w:rsidRPr="00025436">
        <w:rPr>
          <w:rFonts w:ascii="Calibri" w:eastAsiaTheme="minorHAnsi" w:hAnsi="Calibri" w:cs="Calibri"/>
        </w:rPr>
        <w:t xml:space="preserve"> will be arranged with the Education Access team and the PRU. </w:t>
      </w:r>
      <w:r w:rsidR="00952A64" w:rsidRPr="00025436">
        <w:rPr>
          <w:rFonts w:ascii="Calibri" w:eastAsiaTheme="minorHAnsi" w:hAnsi="Calibri" w:cs="Calibri"/>
        </w:rPr>
        <w:t xml:space="preserve">The Education Access team will confirm the route for consideration with the referrer.   </w:t>
      </w:r>
    </w:p>
    <w:p w14:paraId="7CAFF0F9" w14:textId="77777777" w:rsidR="009B4E11" w:rsidRPr="00025436" w:rsidRDefault="009B4E11" w:rsidP="009B4E11">
      <w:pPr>
        <w:pStyle w:val="ListParagraph"/>
        <w:spacing w:afterLines="200" w:after="480"/>
        <w:ind w:left="499"/>
        <w:rPr>
          <w:rFonts w:ascii="Calibri" w:eastAsiaTheme="minorHAnsi" w:hAnsi="Calibri" w:cs="Calibri"/>
        </w:rPr>
      </w:pPr>
    </w:p>
    <w:p w14:paraId="7CFDED58" w14:textId="5BC75FCA" w:rsidR="009B4E11" w:rsidRPr="00025436" w:rsidRDefault="009B4E11" w:rsidP="009B4E11">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 xml:space="preserve">Placements will be agreed for one term initially. Extensions can be discussed with the Education Access Specialist at the placement review meeting and will be considered on a case-by-case basis. </w:t>
      </w:r>
    </w:p>
    <w:p w14:paraId="3487516A" w14:textId="77777777" w:rsidR="009B4E11" w:rsidRPr="00025436" w:rsidRDefault="009B4E11" w:rsidP="009B4E11">
      <w:pPr>
        <w:pStyle w:val="ListParagraph"/>
        <w:spacing w:afterLines="200" w:after="480"/>
        <w:ind w:left="499" w:hanging="357"/>
        <w:rPr>
          <w:rFonts w:ascii="Calibri" w:eastAsiaTheme="minorHAnsi" w:hAnsi="Calibri" w:cs="Calibri"/>
        </w:rPr>
      </w:pPr>
    </w:p>
    <w:p w14:paraId="464B2081" w14:textId="739AE54B" w:rsidR="009B4E11" w:rsidRDefault="009B4E11" w:rsidP="009B4E11">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 xml:space="preserve">Any pupil who is accessing a request for support PRU placement will remain on roll to the referring school. The referring school must ensure that they fulfil their safeguarding duties whilst the pupil is accessing offsite alternative provision. The school must also consider how the pupil remains part of the school community whilst they access their alternative provision placement, as this is imperative to a successful reintegration. </w:t>
      </w:r>
    </w:p>
    <w:p w14:paraId="6CCCBB1B" w14:textId="77777777" w:rsidR="005E5A4E" w:rsidRPr="005E5A4E" w:rsidRDefault="005E5A4E" w:rsidP="005E5A4E">
      <w:pPr>
        <w:pStyle w:val="ListParagraph"/>
        <w:rPr>
          <w:rFonts w:ascii="Calibri" w:eastAsiaTheme="minorHAnsi" w:hAnsi="Calibri" w:cs="Calibri"/>
        </w:rPr>
      </w:pPr>
    </w:p>
    <w:p w14:paraId="30EC1ACB" w14:textId="3EF47F56" w:rsidR="005E5A4E" w:rsidRPr="005B7043" w:rsidRDefault="005B7043" w:rsidP="009B4E11">
      <w:pPr>
        <w:pStyle w:val="ListParagraph"/>
        <w:numPr>
          <w:ilvl w:val="0"/>
          <w:numId w:val="16"/>
        </w:numPr>
        <w:spacing w:afterLines="200" w:after="480"/>
        <w:ind w:left="499" w:hanging="357"/>
        <w:rPr>
          <w:rFonts w:ascii="Calibri" w:eastAsiaTheme="minorHAnsi" w:hAnsi="Calibri" w:cs="Calibri"/>
        </w:rPr>
      </w:pPr>
      <w:r w:rsidRPr="005B7043">
        <w:rPr>
          <w:rFonts w:ascii="Calibri" w:eastAsiaTheme="minorHAnsi" w:hAnsi="Calibri" w:cs="Calibri"/>
        </w:rPr>
        <w:t xml:space="preserve">The PRU can apply for transport, </w:t>
      </w:r>
      <w:r>
        <w:rPr>
          <w:rFonts w:ascii="Calibri" w:eastAsiaTheme="minorHAnsi" w:hAnsi="Calibri" w:cs="Calibri"/>
        </w:rPr>
        <w:t>and</w:t>
      </w:r>
      <w:r w:rsidRPr="005B7043">
        <w:rPr>
          <w:rFonts w:ascii="Calibri" w:eastAsiaTheme="minorHAnsi" w:hAnsi="Calibri" w:cs="Calibri"/>
        </w:rPr>
        <w:t xml:space="preserve"> </w:t>
      </w:r>
      <w:r w:rsidRPr="005B7043">
        <w:rPr>
          <w:rFonts w:ascii="Calibri" w:eastAsiaTheme="minorHAnsi" w:hAnsi="Calibri" w:cs="Calibri"/>
          <w:b/>
          <w:bCs/>
        </w:rPr>
        <w:t>if</w:t>
      </w:r>
      <w:r w:rsidRPr="005B7043">
        <w:rPr>
          <w:rFonts w:ascii="Calibri" w:eastAsiaTheme="minorHAnsi" w:hAnsi="Calibri" w:cs="Calibri"/>
        </w:rPr>
        <w:t xml:space="preserve"> awarded, this will be for public transport only. </w:t>
      </w:r>
      <w:r w:rsidR="009D5122" w:rsidRPr="005B7043">
        <w:rPr>
          <w:rFonts w:ascii="Calibri" w:eastAsiaTheme="minorHAnsi" w:hAnsi="Calibri" w:cs="Calibri"/>
        </w:rPr>
        <w:t xml:space="preserve">If an alternative to public transport is </w:t>
      </w:r>
      <w:r w:rsidRPr="005B7043">
        <w:rPr>
          <w:rFonts w:ascii="Calibri" w:eastAsiaTheme="minorHAnsi" w:hAnsi="Calibri" w:cs="Calibri"/>
        </w:rPr>
        <w:t xml:space="preserve">required, </w:t>
      </w:r>
      <w:r>
        <w:rPr>
          <w:rFonts w:ascii="Calibri" w:eastAsiaTheme="minorHAnsi" w:hAnsi="Calibri" w:cs="Calibri"/>
        </w:rPr>
        <w:t>it will be the</w:t>
      </w:r>
      <w:r w:rsidRPr="005B7043">
        <w:rPr>
          <w:rFonts w:ascii="Calibri" w:eastAsiaTheme="minorHAnsi" w:hAnsi="Calibri" w:cs="Calibri"/>
        </w:rPr>
        <w:t xml:space="preserve"> responsibility of the school or parent/carer</w:t>
      </w:r>
      <w:r>
        <w:rPr>
          <w:rFonts w:ascii="Calibri" w:eastAsiaTheme="minorHAnsi" w:hAnsi="Calibri" w:cs="Calibri"/>
        </w:rPr>
        <w:t xml:space="preserve"> to arrange</w:t>
      </w:r>
      <w:r w:rsidRPr="005B7043">
        <w:rPr>
          <w:rFonts w:ascii="Calibri" w:eastAsiaTheme="minorHAnsi" w:hAnsi="Calibri" w:cs="Calibri"/>
        </w:rPr>
        <w:t xml:space="preserve">. </w:t>
      </w:r>
    </w:p>
    <w:p w14:paraId="535F9294" w14:textId="77777777" w:rsidR="006C39FD" w:rsidRPr="006C39FD" w:rsidRDefault="006C39FD" w:rsidP="006C39FD">
      <w:pPr>
        <w:pStyle w:val="ListParagraph"/>
        <w:rPr>
          <w:rFonts w:ascii="Calibri" w:eastAsiaTheme="minorHAnsi" w:hAnsi="Calibri" w:cs="Calibri"/>
        </w:rPr>
      </w:pPr>
    </w:p>
    <w:p w14:paraId="58050361" w14:textId="77777777" w:rsidR="006C39FD" w:rsidRDefault="006C39FD" w:rsidP="009D5122">
      <w:pPr>
        <w:spacing w:afterLines="200" w:after="480"/>
        <w:rPr>
          <w:rFonts w:ascii="Calibri" w:eastAsiaTheme="minorHAnsi" w:hAnsi="Calibri" w:cs="Calibri"/>
        </w:rPr>
      </w:pPr>
    </w:p>
    <w:p w14:paraId="08C5042C" w14:textId="77777777" w:rsidR="009D5122" w:rsidRPr="009D5122" w:rsidRDefault="009D5122" w:rsidP="009D5122">
      <w:pPr>
        <w:spacing w:afterLines="200" w:after="480"/>
        <w:rPr>
          <w:rFonts w:ascii="Calibri" w:eastAsiaTheme="minorHAnsi" w:hAnsi="Calibri" w:cs="Calibri"/>
        </w:rPr>
      </w:pPr>
    </w:p>
    <w:p w14:paraId="4E1A83A1" w14:textId="09F32A39" w:rsidR="00567132" w:rsidRPr="00025436" w:rsidRDefault="00567132" w:rsidP="009B4E11">
      <w:pPr>
        <w:pStyle w:val="ListParagraph"/>
        <w:spacing w:afterLines="200" w:after="480"/>
        <w:ind w:left="502"/>
        <w:rPr>
          <w:rFonts w:ascii="Calibri" w:eastAsiaTheme="minorHAnsi" w:hAnsi="Calibri" w:cs="Calibri"/>
          <w:b/>
          <w:bCs/>
          <w:sz w:val="24"/>
          <w:szCs w:val="24"/>
        </w:rPr>
      </w:pPr>
    </w:p>
    <w:p w14:paraId="1BD07D06" w14:textId="5088F6F9" w:rsidR="00044316" w:rsidRPr="00025436" w:rsidRDefault="009F0E5B" w:rsidP="00297EA9">
      <w:pPr>
        <w:spacing w:afterLines="200" w:after="480"/>
        <w:ind w:firstLine="142"/>
        <w:contextualSpacing/>
        <w:rPr>
          <w:rFonts w:ascii="Calibri" w:eastAsiaTheme="minorHAnsi" w:hAnsi="Calibri" w:cs="Calibri"/>
          <w:b/>
          <w:bCs/>
          <w:sz w:val="28"/>
          <w:szCs w:val="28"/>
        </w:rPr>
      </w:pPr>
      <w:r w:rsidRPr="00025436">
        <w:rPr>
          <w:rFonts w:ascii="Calibri" w:eastAsiaTheme="minorHAnsi" w:hAnsi="Calibri" w:cs="Calibri"/>
          <w:b/>
          <w:bCs/>
          <w:sz w:val="28"/>
          <w:szCs w:val="28"/>
        </w:rPr>
        <w:lastRenderedPageBreak/>
        <w:t xml:space="preserve">Exceptional funding </w:t>
      </w:r>
    </w:p>
    <w:p w14:paraId="67CCA53F" w14:textId="215D8553" w:rsidR="007C1BEA" w:rsidRPr="00025436" w:rsidRDefault="004A3AEC" w:rsidP="00297EA9">
      <w:pPr>
        <w:spacing w:afterLines="200" w:after="480"/>
        <w:ind w:firstLine="142"/>
        <w:contextualSpacing/>
        <w:rPr>
          <w:rFonts w:ascii="Calibri" w:eastAsiaTheme="minorHAnsi" w:hAnsi="Calibri" w:cs="Calibri"/>
          <w:b/>
          <w:bCs/>
          <w:sz w:val="24"/>
          <w:szCs w:val="24"/>
        </w:rPr>
      </w:pPr>
      <w:r w:rsidRPr="00025436">
        <w:rPr>
          <w:rFonts w:ascii="Calibri" w:eastAsiaTheme="minorHAnsi" w:hAnsi="Calibri" w:cs="Calibri"/>
          <w:b/>
          <w:bCs/>
          <w:sz w:val="24"/>
          <w:szCs w:val="24"/>
        </w:rPr>
        <w:t xml:space="preserve">Threshold </w:t>
      </w:r>
    </w:p>
    <w:p w14:paraId="62987CB7" w14:textId="072933EE" w:rsidR="001136E7" w:rsidRPr="00025436" w:rsidRDefault="007C1BEA" w:rsidP="009B4E11">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 xml:space="preserve">The Education Access team can consider financial support to schools where </w:t>
      </w:r>
      <w:r w:rsidR="001136E7" w:rsidRPr="00025436">
        <w:rPr>
          <w:rFonts w:ascii="Calibri" w:eastAsiaTheme="minorHAnsi" w:hAnsi="Calibri" w:cs="Calibri"/>
        </w:rPr>
        <w:t xml:space="preserve">it is evident </w:t>
      </w:r>
      <w:r w:rsidRPr="00025436">
        <w:rPr>
          <w:rFonts w:ascii="Calibri" w:eastAsiaTheme="minorHAnsi" w:hAnsi="Calibri" w:cs="Calibri"/>
        </w:rPr>
        <w:t>that</w:t>
      </w:r>
      <w:r w:rsidR="001136E7" w:rsidRPr="00025436">
        <w:rPr>
          <w:rFonts w:ascii="Calibri" w:eastAsiaTheme="minorHAnsi" w:hAnsi="Calibri" w:cs="Calibri"/>
        </w:rPr>
        <w:t xml:space="preserve"> the LA’s</w:t>
      </w:r>
      <w:r w:rsidRPr="00025436">
        <w:rPr>
          <w:rFonts w:ascii="Calibri" w:eastAsiaTheme="minorHAnsi" w:hAnsi="Calibri" w:cs="Calibri"/>
        </w:rPr>
        <w:t xml:space="preserve"> </w:t>
      </w:r>
      <w:r w:rsidR="001136E7" w:rsidRPr="00025436">
        <w:rPr>
          <w:rFonts w:ascii="Calibri" w:eastAsiaTheme="minorHAnsi" w:hAnsi="Calibri" w:cs="Calibri"/>
        </w:rPr>
        <w:t>S</w:t>
      </w:r>
      <w:r w:rsidRPr="00025436">
        <w:rPr>
          <w:rFonts w:ascii="Calibri" w:eastAsiaTheme="minorHAnsi" w:hAnsi="Calibri" w:cs="Calibri"/>
        </w:rPr>
        <w:t xml:space="preserve">ection 19 duty </w:t>
      </w:r>
      <w:r w:rsidR="00AB4A2B" w:rsidRPr="00025436">
        <w:rPr>
          <w:rFonts w:ascii="Calibri" w:eastAsiaTheme="minorHAnsi" w:hAnsi="Calibri" w:cs="Calibri"/>
        </w:rPr>
        <w:t>is likely to be met without intervention</w:t>
      </w:r>
      <w:r w:rsidR="001136E7" w:rsidRPr="00025436">
        <w:rPr>
          <w:rFonts w:ascii="Calibri" w:eastAsiaTheme="minorHAnsi" w:hAnsi="Calibri" w:cs="Calibri"/>
        </w:rPr>
        <w:t>,</w:t>
      </w:r>
      <w:r w:rsidR="00DA2B6F" w:rsidRPr="00025436">
        <w:rPr>
          <w:rFonts w:ascii="Calibri" w:eastAsiaTheme="minorHAnsi" w:hAnsi="Calibri" w:cs="Calibri"/>
        </w:rPr>
        <w:t xml:space="preserve"> </w:t>
      </w:r>
      <w:r w:rsidRPr="00025436">
        <w:rPr>
          <w:rFonts w:ascii="Calibri" w:eastAsiaTheme="minorHAnsi" w:hAnsi="Calibri" w:cs="Calibri"/>
        </w:rPr>
        <w:t>and</w:t>
      </w:r>
      <w:r w:rsidR="001136E7" w:rsidRPr="00025436">
        <w:rPr>
          <w:rFonts w:ascii="Calibri" w:eastAsiaTheme="minorHAnsi" w:hAnsi="Calibri" w:cs="Calibri"/>
        </w:rPr>
        <w:t xml:space="preserve"> the</w:t>
      </w:r>
      <w:r w:rsidRPr="00025436">
        <w:rPr>
          <w:rFonts w:ascii="Calibri" w:eastAsiaTheme="minorHAnsi" w:hAnsi="Calibri" w:cs="Calibri"/>
        </w:rPr>
        <w:t xml:space="preserve"> school can make available a package of support</w:t>
      </w:r>
      <w:r w:rsidR="001136E7" w:rsidRPr="00025436">
        <w:rPr>
          <w:rFonts w:ascii="Calibri" w:eastAsiaTheme="minorHAnsi" w:hAnsi="Calibri" w:cs="Calibri"/>
        </w:rPr>
        <w:t xml:space="preserve"> that is </w:t>
      </w:r>
      <w:r w:rsidRPr="00025436">
        <w:rPr>
          <w:rFonts w:ascii="Calibri" w:eastAsiaTheme="minorHAnsi" w:hAnsi="Calibri" w:cs="Calibri"/>
        </w:rPr>
        <w:t>suitable to the pupil’s age, ability and aptitude</w:t>
      </w:r>
      <w:r w:rsidR="001136E7" w:rsidRPr="00025436">
        <w:rPr>
          <w:rFonts w:ascii="Calibri" w:eastAsiaTheme="minorHAnsi" w:hAnsi="Calibri" w:cs="Calibri"/>
        </w:rPr>
        <w:t xml:space="preserve"> and SEN</w:t>
      </w:r>
      <w:r w:rsidR="00ED344F" w:rsidRPr="00025436">
        <w:rPr>
          <w:rFonts w:ascii="Calibri" w:eastAsiaTheme="minorHAnsi" w:hAnsi="Calibri" w:cs="Calibri"/>
        </w:rPr>
        <w:t>.</w:t>
      </w:r>
    </w:p>
    <w:p w14:paraId="37195BEF" w14:textId="77777777" w:rsidR="00ED344F" w:rsidRPr="00025436" w:rsidRDefault="00ED344F" w:rsidP="0061467D">
      <w:pPr>
        <w:pStyle w:val="ListParagraph"/>
        <w:spacing w:afterLines="200" w:after="480"/>
        <w:ind w:left="499" w:hanging="357"/>
        <w:rPr>
          <w:rFonts w:ascii="Calibri" w:eastAsiaTheme="minorHAnsi" w:hAnsi="Calibri" w:cs="Calibri"/>
        </w:rPr>
      </w:pPr>
    </w:p>
    <w:p w14:paraId="05C40B3F" w14:textId="24278711" w:rsidR="00E74C2C" w:rsidRPr="00025436" w:rsidRDefault="00E652CC" w:rsidP="009B4E11">
      <w:pPr>
        <w:pStyle w:val="ListParagraph"/>
        <w:numPr>
          <w:ilvl w:val="0"/>
          <w:numId w:val="16"/>
        </w:numPr>
        <w:spacing w:afterLines="200" w:after="480"/>
        <w:ind w:left="499" w:hanging="357"/>
        <w:rPr>
          <w:rFonts w:ascii="Calibri" w:eastAsiaTheme="minorHAnsi" w:hAnsi="Calibri" w:cs="Calibri"/>
          <w:b/>
          <w:bCs/>
          <w:sz w:val="24"/>
          <w:szCs w:val="24"/>
          <w:u w:val="single"/>
        </w:rPr>
      </w:pPr>
      <w:r w:rsidRPr="00025436">
        <w:rPr>
          <w:rFonts w:ascii="Calibri" w:eastAsiaTheme="minorHAnsi" w:hAnsi="Calibri" w:cs="Calibri"/>
        </w:rPr>
        <w:t>Exceptional funding requests will be considered to support schools with the cost of funding</w:t>
      </w:r>
      <w:r w:rsidR="001136E7" w:rsidRPr="00025436">
        <w:rPr>
          <w:rFonts w:ascii="Calibri" w:eastAsiaTheme="minorHAnsi" w:hAnsi="Calibri" w:cs="Calibri"/>
        </w:rPr>
        <w:t xml:space="preserve"> an intervention or</w:t>
      </w:r>
      <w:r w:rsidRPr="00025436">
        <w:rPr>
          <w:rFonts w:ascii="Calibri" w:eastAsiaTheme="minorHAnsi" w:hAnsi="Calibri" w:cs="Calibri"/>
        </w:rPr>
        <w:t xml:space="preserve"> alternative </w:t>
      </w:r>
      <w:r w:rsidR="001136E7" w:rsidRPr="00025436">
        <w:rPr>
          <w:rFonts w:ascii="Calibri" w:eastAsiaTheme="minorHAnsi" w:hAnsi="Calibri" w:cs="Calibri"/>
        </w:rPr>
        <w:t>provision for individual pupils</w:t>
      </w:r>
      <w:r w:rsidRPr="00025436">
        <w:rPr>
          <w:rFonts w:ascii="Calibri" w:eastAsiaTheme="minorHAnsi" w:hAnsi="Calibri" w:cs="Calibri"/>
        </w:rPr>
        <w:t>. Requests for strategic support should be discussed with the school’s IP who can advise on whether a referral through the Inclusion Framework is appropriate.</w:t>
      </w:r>
    </w:p>
    <w:p w14:paraId="59935F83" w14:textId="77777777" w:rsidR="00E74C2C" w:rsidRPr="00025436" w:rsidRDefault="00E74C2C" w:rsidP="0061467D">
      <w:pPr>
        <w:pStyle w:val="ListParagraph"/>
        <w:spacing w:afterLines="200" w:after="480"/>
        <w:ind w:left="499" w:hanging="357"/>
        <w:rPr>
          <w:rFonts w:ascii="Calibri" w:eastAsiaTheme="minorHAnsi" w:hAnsi="Calibri" w:cs="Calibri"/>
          <w:b/>
          <w:bCs/>
          <w:sz w:val="24"/>
          <w:szCs w:val="24"/>
          <w:u w:val="single"/>
        </w:rPr>
      </w:pPr>
    </w:p>
    <w:p w14:paraId="3BE4C685" w14:textId="0639B221" w:rsidR="00FB3C0C" w:rsidRPr="00025436" w:rsidRDefault="00FB3C0C" w:rsidP="009B4E11">
      <w:pPr>
        <w:pStyle w:val="ListParagraph"/>
        <w:numPr>
          <w:ilvl w:val="0"/>
          <w:numId w:val="16"/>
        </w:numPr>
        <w:spacing w:afterLines="200" w:after="480"/>
        <w:ind w:left="499" w:hanging="357"/>
        <w:rPr>
          <w:rStyle w:val="cf01"/>
          <w:rFonts w:ascii="Calibri" w:hAnsi="Calibri" w:cs="Calibri"/>
          <w:sz w:val="20"/>
          <w:szCs w:val="20"/>
        </w:rPr>
      </w:pPr>
      <w:r w:rsidRPr="00025436">
        <w:rPr>
          <w:rStyle w:val="cf01"/>
          <w:rFonts w:ascii="Calibri" w:hAnsi="Calibri" w:cs="Calibri"/>
          <w:sz w:val="20"/>
          <w:szCs w:val="20"/>
        </w:rPr>
        <w:t xml:space="preserve">Funding requests should clearly outline the rationale for intervention. Exceptional funding agreements are time-limited interventions with an identified exit strategy. Requests for ongoing support will not be approved. </w:t>
      </w:r>
    </w:p>
    <w:p w14:paraId="29D47AB8" w14:textId="77777777" w:rsidR="00E74C2C" w:rsidRPr="00025436" w:rsidRDefault="00E74C2C" w:rsidP="0061467D">
      <w:pPr>
        <w:pStyle w:val="ListParagraph"/>
        <w:spacing w:afterLines="200" w:after="480"/>
        <w:ind w:left="499" w:hanging="357"/>
        <w:rPr>
          <w:rStyle w:val="cf01"/>
          <w:rFonts w:ascii="Calibri" w:hAnsi="Calibri" w:cs="Calibri"/>
          <w:sz w:val="20"/>
          <w:szCs w:val="20"/>
        </w:rPr>
      </w:pPr>
    </w:p>
    <w:p w14:paraId="445C79DF" w14:textId="5864E12F" w:rsidR="00AB4A2B" w:rsidRPr="00025436" w:rsidRDefault="00AB4A2B" w:rsidP="009B4E11">
      <w:pPr>
        <w:pStyle w:val="ListParagraph"/>
        <w:numPr>
          <w:ilvl w:val="0"/>
          <w:numId w:val="16"/>
        </w:numPr>
        <w:spacing w:afterLines="200" w:after="480"/>
        <w:ind w:left="499" w:hanging="357"/>
        <w:rPr>
          <w:rStyle w:val="cf01"/>
          <w:rFonts w:ascii="Calibri" w:hAnsi="Calibri" w:cs="Calibri"/>
          <w:sz w:val="20"/>
          <w:szCs w:val="20"/>
        </w:rPr>
      </w:pPr>
      <w:r w:rsidRPr="00025436">
        <w:rPr>
          <w:rStyle w:val="cf01"/>
          <w:rFonts w:ascii="Calibri" w:hAnsi="Calibri" w:cs="Calibri"/>
          <w:sz w:val="20"/>
          <w:szCs w:val="20"/>
        </w:rPr>
        <w:t xml:space="preserve">Where exceptional funding is being sought for a pupil at risk of exclusion, </w:t>
      </w:r>
      <w:r w:rsidR="00ED344F" w:rsidRPr="00025436">
        <w:rPr>
          <w:rStyle w:val="cf01"/>
          <w:rFonts w:ascii="Calibri" w:hAnsi="Calibri" w:cs="Calibri"/>
          <w:sz w:val="20"/>
          <w:szCs w:val="20"/>
        </w:rPr>
        <w:t>parental consent must be sought prior to making the referral</w:t>
      </w:r>
      <w:r w:rsidRPr="00025436">
        <w:rPr>
          <w:rStyle w:val="cf01"/>
          <w:rFonts w:ascii="Calibri" w:hAnsi="Calibri" w:cs="Calibri"/>
          <w:sz w:val="20"/>
          <w:szCs w:val="20"/>
        </w:rPr>
        <w:t xml:space="preserve">. The school and the Education Access team must act in accordance with statutory guidance and must ensure that the agreement does not </w:t>
      </w:r>
      <w:r w:rsidR="00FB3C0C" w:rsidRPr="00025436">
        <w:rPr>
          <w:rStyle w:val="cf01"/>
          <w:rFonts w:ascii="Calibri" w:hAnsi="Calibri" w:cs="Calibri"/>
          <w:sz w:val="20"/>
          <w:szCs w:val="20"/>
        </w:rPr>
        <w:t xml:space="preserve">constitute an illegal exclusion, with the parent/carer </w:t>
      </w:r>
      <w:r w:rsidRPr="00025436">
        <w:rPr>
          <w:rStyle w:val="cf01"/>
          <w:rFonts w:ascii="Calibri" w:hAnsi="Calibri" w:cs="Calibri"/>
          <w:sz w:val="20"/>
          <w:szCs w:val="20"/>
        </w:rPr>
        <w:t xml:space="preserve">being denied their right to make representations to the governing board. </w:t>
      </w:r>
    </w:p>
    <w:p w14:paraId="5ADDFDF0" w14:textId="77777777" w:rsidR="00E74C2C" w:rsidRPr="00025436" w:rsidRDefault="00E74C2C" w:rsidP="0061467D">
      <w:pPr>
        <w:pStyle w:val="ListParagraph"/>
        <w:spacing w:afterLines="200" w:after="480"/>
        <w:ind w:left="499" w:hanging="357"/>
        <w:rPr>
          <w:rStyle w:val="cf01"/>
          <w:rFonts w:ascii="Calibri" w:hAnsi="Calibri" w:cs="Calibri"/>
          <w:sz w:val="20"/>
          <w:szCs w:val="20"/>
        </w:rPr>
      </w:pPr>
    </w:p>
    <w:p w14:paraId="57711428" w14:textId="20975E6F" w:rsidR="00E652CC" w:rsidRPr="00025436" w:rsidRDefault="0098570F" w:rsidP="009B4E11">
      <w:pPr>
        <w:pStyle w:val="ListParagraph"/>
        <w:numPr>
          <w:ilvl w:val="0"/>
          <w:numId w:val="16"/>
        </w:numPr>
        <w:spacing w:afterLines="200" w:after="480"/>
        <w:ind w:left="499" w:hanging="357"/>
        <w:rPr>
          <w:rStyle w:val="cf01"/>
          <w:rFonts w:ascii="Calibri" w:hAnsi="Calibri" w:cs="Calibri"/>
          <w:sz w:val="20"/>
          <w:szCs w:val="20"/>
        </w:rPr>
      </w:pPr>
      <w:r w:rsidRPr="00025436">
        <w:rPr>
          <w:rStyle w:val="cf01"/>
          <w:rFonts w:ascii="Calibri" w:hAnsi="Calibri" w:cs="Calibri"/>
          <w:sz w:val="20"/>
          <w:szCs w:val="20"/>
        </w:rPr>
        <w:t>The Education Access team may consider financial assistance to support with an offsite direction to alternative provision</w:t>
      </w:r>
      <w:r w:rsidR="002F0131" w:rsidRPr="00025436">
        <w:rPr>
          <w:rStyle w:val="cf01"/>
          <w:rFonts w:ascii="Calibri" w:hAnsi="Calibri" w:cs="Calibri"/>
          <w:sz w:val="20"/>
          <w:szCs w:val="20"/>
        </w:rPr>
        <w:t xml:space="preserve"> where it is evident that the school is actively seeking to avoid permanent exclusion. </w:t>
      </w:r>
      <w:r w:rsidR="00DD39C3" w:rsidRPr="00025436">
        <w:rPr>
          <w:rStyle w:val="cf01"/>
          <w:rFonts w:ascii="Calibri" w:hAnsi="Calibri" w:cs="Calibri"/>
          <w:sz w:val="20"/>
          <w:szCs w:val="20"/>
        </w:rPr>
        <w:t>The school must seek approval from the Education Access team prior to any discussion with the parent/carer. The Education Access team will only consider refer</w:t>
      </w:r>
      <w:r w:rsidR="00FC3815" w:rsidRPr="00025436">
        <w:rPr>
          <w:rStyle w:val="cf01"/>
          <w:rFonts w:ascii="Calibri" w:hAnsi="Calibri" w:cs="Calibri"/>
          <w:sz w:val="20"/>
          <w:szCs w:val="20"/>
        </w:rPr>
        <w:t>rals where it is evident that targeted support</w:t>
      </w:r>
      <w:r w:rsidR="00DD39C3" w:rsidRPr="00025436">
        <w:rPr>
          <w:rStyle w:val="cf01"/>
          <w:rFonts w:ascii="Calibri" w:hAnsi="Calibri" w:cs="Calibri"/>
          <w:sz w:val="20"/>
          <w:szCs w:val="20"/>
        </w:rPr>
        <w:t xml:space="preserve"> from alternative provision </w:t>
      </w:r>
      <w:r w:rsidR="00FC3815" w:rsidRPr="00025436">
        <w:rPr>
          <w:rStyle w:val="cf01"/>
          <w:rFonts w:ascii="Calibri" w:hAnsi="Calibri" w:cs="Calibri"/>
          <w:sz w:val="20"/>
          <w:szCs w:val="20"/>
        </w:rPr>
        <w:t>is able to</w:t>
      </w:r>
      <w:r w:rsidR="00DD39C3" w:rsidRPr="00025436">
        <w:rPr>
          <w:rStyle w:val="cf01"/>
          <w:rFonts w:ascii="Calibri" w:hAnsi="Calibri" w:cs="Calibri"/>
          <w:sz w:val="20"/>
          <w:szCs w:val="20"/>
        </w:rPr>
        <w:t xml:space="preserve"> meet the pupil’s individual needs and circumstances. </w:t>
      </w:r>
    </w:p>
    <w:p w14:paraId="550663FD" w14:textId="77777777" w:rsidR="00E74C2C" w:rsidRPr="00025436" w:rsidRDefault="00E74C2C" w:rsidP="0061467D">
      <w:pPr>
        <w:pStyle w:val="ListParagraph"/>
        <w:spacing w:afterLines="200" w:after="480"/>
        <w:ind w:left="499" w:hanging="357"/>
        <w:rPr>
          <w:rStyle w:val="cf01"/>
          <w:rFonts w:ascii="Calibri" w:hAnsi="Calibri" w:cs="Calibri"/>
          <w:sz w:val="20"/>
          <w:szCs w:val="20"/>
        </w:rPr>
      </w:pPr>
    </w:p>
    <w:p w14:paraId="7FE15B85" w14:textId="750B23E9" w:rsidR="00FC3815" w:rsidRPr="00025436" w:rsidRDefault="00FC3815" w:rsidP="009B4E11">
      <w:pPr>
        <w:pStyle w:val="ListParagraph"/>
        <w:numPr>
          <w:ilvl w:val="0"/>
          <w:numId w:val="16"/>
        </w:numPr>
        <w:spacing w:afterLines="200" w:after="480"/>
        <w:ind w:left="499" w:hanging="357"/>
        <w:rPr>
          <w:rStyle w:val="cf01"/>
          <w:rFonts w:ascii="Calibri" w:hAnsi="Calibri" w:cs="Calibri"/>
          <w:sz w:val="20"/>
          <w:szCs w:val="20"/>
        </w:rPr>
      </w:pPr>
      <w:r w:rsidRPr="00025436">
        <w:rPr>
          <w:rStyle w:val="cf01"/>
          <w:rFonts w:ascii="Calibri" w:hAnsi="Calibri" w:cs="Calibri"/>
          <w:sz w:val="20"/>
          <w:szCs w:val="20"/>
        </w:rPr>
        <w:t xml:space="preserve">Where exceptional funding has been agreed to support with alternative provision, the school remain responsible for undertaking quality checks prior to working with the provider. The school must also ensure that provision is carefully planned and reviewed to ensure it remains suitable and is meeting the desired outcomes. Further guidance can be found here: </w:t>
      </w:r>
      <w:hyperlink r:id="rId8" w:history="1">
        <w:r w:rsidRPr="00025436">
          <w:rPr>
            <w:rStyle w:val="Hyperlink"/>
            <w:rFonts w:ascii="Calibri" w:hAnsi="Calibri" w:cs="Calibri"/>
            <w:color w:val="auto"/>
          </w:rPr>
          <w:t>https://essexcc.pagetiger.com/safeguarding-AP/1</w:t>
        </w:r>
      </w:hyperlink>
      <w:r w:rsidRPr="00025436">
        <w:rPr>
          <w:rStyle w:val="cf01"/>
          <w:rFonts w:ascii="Calibri" w:hAnsi="Calibri" w:cs="Calibri"/>
          <w:sz w:val="20"/>
          <w:szCs w:val="20"/>
        </w:rPr>
        <w:t xml:space="preserve"> </w:t>
      </w:r>
    </w:p>
    <w:p w14:paraId="0DDD60F8" w14:textId="77777777" w:rsidR="00E74C2C" w:rsidRPr="00025436" w:rsidRDefault="00E74C2C" w:rsidP="0061467D">
      <w:pPr>
        <w:pStyle w:val="ListParagraph"/>
        <w:spacing w:afterLines="200" w:after="480"/>
        <w:ind w:left="499" w:hanging="357"/>
        <w:rPr>
          <w:rStyle w:val="cf01"/>
          <w:rFonts w:ascii="Calibri" w:hAnsi="Calibri" w:cs="Calibri"/>
          <w:sz w:val="20"/>
          <w:szCs w:val="20"/>
        </w:rPr>
      </w:pPr>
    </w:p>
    <w:p w14:paraId="4769E188" w14:textId="79E940C9" w:rsidR="009D07E5" w:rsidRPr="00025436" w:rsidRDefault="00FC3815" w:rsidP="009B4E11">
      <w:pPr>
        <w:pStyle w:val="ListParagraph"/>
        <w:numPr>
          <w:ilvl w:val="0"/>
          <w:numId w:val="16"/>
        </w:numPr>
        <w:spacing w:afterLines="200" w:after="480"/>
        <w:ind w:left="499" w:hanging="357"/>
        <w:rPr>
          <w:rStyle w:val="cf01"/>
          <w:rFonts w:ascii="Calibri" w:eastAsiaTheme="minorHAnsi" w:hAnsi="Calibri" w:cs="Calibri"/>
          <w:b/>
          <w:bCs/>
          <w:sz w:val="24"/>
          <w:szCs w:val="24"/>
        </w:rPr>
      </w:pPr>
      <w:r w:rsidRPr="00025436">
        <w:rPr>
          <w:rStyle w:val="cf01"/>
          <w:rFonts w:ascii="Calibri" w:hAnsi="Calibri" w:cs="Calibri"/>
          <w:sz w:val="20"/>
          <w:szCs w:val="20"/>
        </w:rPr>
        <w:t>As part of the evidence required to support a funding request, the Education Access team will need t</w:t>
      </w:r>
      <w:r w:rsidR="00A24B62" w:rsidRPr="00025436">
        <w:rPr>
          <w:rStyle w:val="cf01"/>
          <w:rFonts w:ascii="Calibri" w:hAnsi="Calibri" w:cs="Calibri"/>
          <w:sz w:val="20"/>
          <w:szCs w:val="20"/>
        </w:rPr>
        <w:t xml:space="preserve">o be involved in placement planning and review meetings. Where attendance is not possible, </w:t>
      </w:r>
      <w:r w:rsidR="007006DF" w:rsidRPr="00025436">
        <w:rPr>
          <w:rStyle w:val="cf01"/>
          <w:rFonts w:ascii="Calibri" w:hAnsi="Calibri" w:cs="Calibri"/>
          <w:sz w:val="20"/>
          <w:szCs w:val="20"/>
        </w:rPr>
        <w:t xml:space="preserve">the </w:t>
      </w:r>
      <w:r w:rsidR="00A24B62" w:rsidRPr="00025436">
        <w:rPr>
          <w:rStyle w:val="cf01"/>
          <w:rFonts w:ascii="Calibri" w:hAnsi="Calibri" w:cs="Calibri"/>
          <w:sz w:val="20"/>
          <w:szCs w:val="20"/>
        </w:rPr>
        <w:t>school</w:t>
      </w:r>
      <w:r w:rsidR="007006DF" w:rsidRPr="00025436">
        <w:rPr>
          <w:rStyle w:val="cf01"/>
          <w:rFonts w:ascii="Calibri" w:hAnsi="Calibri" w:cs="Calibri"/>
          <w:sz w:val="20"/>
          <w:szCs w:val="20"/>
        </w:rPr>
        <w:t xml:space="preserve"> must ensure that planning and review documentation is sent to the Education Access Specialist. </w:t>
      </w:r>
      <w:r w:rsidR="00A24B62" w:rsidRPr="00025436">
        <w:rPr>
          <w:rStyle w:val="cf01"/>
          <w:rFonts w:ascii="Calibri" w:hAnsi="Calibri" w:cs="Calibri"/>
          <w:sz w:val="20"/>
          <w:szCs w:val="20"/>
        </w:rPr>
        <w:t xml:space="preserve"> </w:t>
      </w:r>
    </w:p>
    <w:p w14:paraId="1AC39E55" w14:textId="77777777" w:rsidR="00D22002" w:rsidRPr="00025436" w:rsidRDefault="00D22002" w:rsidP="00D22002">
      <w:pPr>
        <w:pStyle w:val="ListParagraph"/>
        <w:rPr>
          <w:rFonts w:ascii="Calibri" w:eastAsiaTheme="minorHAnsi" w:hAnsi="Calibri" w:cs="Calibri"/>
        </w:rPr>
      </w:pPr>
    </w:p>
    <w:p w14:paraId="4271973C" w14:textId="1F964300" w:rsidR="00D22002" w:rsidRPr="00025436" w:rsidRDefault="00D22002" w:rsidP="009B4E11">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 xml:space="preserve">Funding requests should not exceed 12 weeks. If further funding is required beyond the 12-week period, schools will need to complete a new request. </w:t>
      </w:r>
    </w:p>
    <w:p w14:paraId="4B9FFE7A" w14:textId="04E668DA" w:rsidR="007006DF" w:rsidRPr="00025436" w:rsidRDefault="00E81653" w:rsidP="00C65728">
      <w:pPr>
        <w:spacing w:afterLines="200" w:after="480"/>
        <w:contextualSpacing/>
        <w:rPr>
          <w:rFonts w:ascii="Calibri" w:eastAsiaTheme="minorHAnsi" w:hAnsi="Calibri" w:cs="Calibri"/>
          <w:b/>
          <w:bCs/>
          <w:sz w:val="24"/>
          <w:szCs w:val="24"/>
        </w:rPr>
      </w:pPr>
      <w:r w:rsidRPr="00025436">
        <w:rPr>
          <w:rFonts w:ascii="Calibri" w:eastAsiaTheme="minorHAnsi" w:hAnsi="Calibri" w:cs="Calibri"/>
          <w:b/>
          <w:bCs/>
          <w:sz w:val="24"/>
          <w:szCs w:val="24"/>
        </w:rPr>
        <w:t xml:space="preserve">Accessing support </w:t>
      </w:r>
    </w:p>
    <w:p w14:paraId="52BA0703" w14:textId="4E41550B" w:rsidR="00F01FAC" w:rsidRPr="00025436" w:rsidRDefault="009D07E5" w:rsidP="009B4E11">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The exceptional funding request</w:t>
      </w:r>
      <w:r w:rsidR="00F01FAC" w:rsidRPr="00025436">
        <w:rPr>
          <w:rFonts w:ascii="Calibri" w:eastAsiaTheme="minorHAnsi" w:hAnsi="Calibri" w:cs="Calibri"/>
        </w:rPr>
        <w:t xml:space="preserve"> must confirm the additional resource that is being requested</w:t>
      </w:r>
      <w:r w:rsidR="007006DF" w:rsidRPr="00025436">
        <w:rPr>
          <w:rFonts w:ascii="Calibri" w:eastAsiaTheme="minorHAnsi" w:hAnsi="Calibri" w:cs="Calibri"/>
        </w:rPr>
        <w:t>, including</w:t>
      </w:r>
      <w:r w:rsidR="00F01FAC" w:rsidRPr="00025436">
        <w:rPr>
          <w:rFonts w:ascii="Calibri" w:eastAsiaTheme="minorHAnsi" w:hAnsi="Calibri" w:cs="Calibri"/>
        </w:rPr>
        <w:t xml:space="preserve"> a full </w:t>
      </w:r>
      <w:r w:rsidRPr="00025436">
        <w:rPr>
          <w:rFonts w:ascii="Calibri" w:eastAsiaTheme="minorHAnsi" w:hAnsi="Calibri" w:cs="Calibri"/>
        </w:rPr>
        <w:t>breakdown of the placement costs</w:t>
      </w:r>
      <w:r w:rsidR="007006DF" w:rsidRPr="00025436">
        <w:rPr>
          <w:rFonts w:ascii="Calibri" w:eastAsiaTheme="minorHAnsi" w:hAnsi="Calibri" w:cs="Calibri"/>
        </w:rPr>
        <w:t xml:space="preserve"> and any contribution the school is intending to make.</w:t>
      </w:r>
      <w:r w:rsidRPr="00025436">
        <w:rPr>
          <w:rFonts w:ascii="Calibri" w:eastAsiaTheme="minorHAnsi" w:hAnsi="Calibri" w:cs="Calibri"/>
        </w:rPr>
        <w:t xml:space="preserve"> </w:t>
      </w:r>
      <w:r w:rsidR="00F01FAC" w:rsidRPr="00025436">
        <w:rPr>
          <w:rFonts w:ascii="Calibri" w:eastAsiaTheme="minorHAnsi" w:hAnsi="Calibri" w:cs="Calibri"/>
        </w:rPr>
        <w:t>Where schools are in receipt of SEN Notional Funding, they will need to demonstrate how they have utilised this funding to provide additional support</w:t>
      </w:r>
      <w:r w:rsidR="00F01FAC" w:rsidRPr="00025436">
        <w:rPr>
          <w:rFonts w:ascii="Calibri" w:hAnsi="Calibri" w:cs="Calibri"/>
        </w:rPr>
        <w:t>.</w:t>
      </w:r>
      <w:r w:rsidR="00F01FAC" w:rsidRPr="00025436">
        <w:t xml:space="preserve"> </w:t>
      </w:r>
    </w:p>
    <w:p w14:paraId="408C4863" w14:textId="77777777" w:rsidR="00E74C2C" w:rsidRPr="00025436" w:rsidRDefault="00E74C2C" w:rsidP="0061467D">
      <w:pPr>
        <w:pStyle w:val="ListParagraph"/>
        <w:spacing w:afterLines="200" w:after="480"/>
        <w:ind w:left="499" w:hanging="357"/>
        <w:rPr>
          <w:rFonts w:ascii="Calibri" w:eastAsiaTheme="minorHAnsi" w:hAnsi="Calibri" w:cs="Calibri"/>
        </w:rPr>
      </w:pPr>
    </w:p>
    <w:p w14:paraId="2ADFF03D" w14:textId="31F4D13F" w:rsidR="00952A64" w:rsidRPr="00025436" w:rsidRDefault="00F01FAC" w:rsidP="00952A64">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 xml:space="preserve">The Education Access Specialist will review the request to ensure that paperwork has been completed in full. The request will be listed for consideration at the next </w:t>
      </w:r>
      <w:r w:rsidR="00C65728" w:rsidRPr="00025436">
        <w:rPr>
          <w:rFonts w:ascii="Calibri" w:eastAsiaTheme="minorHAnsi" w:hAnsi="Calibri" w:cs="Calibri"/>
        </w:rPr>
        <w:t>quadrant panel meeting</w:t>
      </w:r>
      <w:r w:rsidRPr="00025436">
        <w:rPr>
          <w:rFonts w:ascii="Calibri" w:eastAsiaTheme="minorHAnsi" w:hAnsi="Calibri" w:cs="Calibri"/>
        </w:rPr>
        <w:t xml:space="preserve">. </w:t>
      </w:r>
      <w:r w:rsidR="00126390" w:rsidRPr="00025436">
        <w:rPr>
          <w:rFonts w:ascii="Calibri" w:eastAsiaTheme="minorHAnsi" w:hAnsi="Calibri" w:cs="Calibri"/>
        </w:rPr>
        <w:t xml:space="preserve">In some circumstances, funding requests will be considered outside of the quadrant panel, with a separate meeting being arranged between the school and the Education Access team. </w:t>
      </w:r>
      <w:r w:rsidR="00952A64" w:rsidRPr="00025436">
        <w:rPr>
          <w:rFonts w:ascii="Calibri" w:eastAsiaTheme="minorHAnsi" w:hAnsi="Calibri" w:cs="Calibri"/>
        </w:rPr>
        <w:t xml:space="preserve">The Education Access team will confirm the route for consideration with the referrer. </w:t>
      </w:r>
    </w:p>
    <w:p w14:paraId="16464090" w14:textId="77777777" w:rsidR="00952A64" w:rsidRPr="00025436" w:rsidRDefault="00952A64" w:rsidP="00952A64">
      <w:pPr>
        <w:pStyle w:val="ListParagraph"/>
        <w:rPr>
          <w:rFonts w:ascii="Calibri" w:eastAsiaTheme="minorHAnsi" w:hAnsi="Calibri" w:cs="Calibri"/>
        </w:rPr>
      </w:pPr>
    </w:p>
    <w:p w14:paraId="6849E9C8" w14:textId="0E155746" w:rsidR="00626B28" w:rsidRPr="00025436" w:rsidRDefault="00126390" w:rsidP="00952A64">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Following the</w:t>
      </w:r>
      <w:r w:rsidR="00626B28" w:rsidRPr="00025436">
        <w:rPr>
          <w:rFonts w:ascii="Calibri" w:eastAsiaTheme="minorHAnsi" w:hAnsi="Calibri" w:cs="Calibri"/>
        </w:rPr>
        <w:t xml:space="preserve"> panel</w:t>
      </w:r>
      <w:r w:rsidRPr="00025436">
        <w:rPr>
          <w:rFonts w:ascii="Calibri" w:eastAsiaTheme="minorHAnsi" w:hAnsi="Calibri" w:cs="Calibri"/>
        </w:rPr>
        <w:t xml:space="preserve"> and/or meeting, a decision will be reached as to </w:t>
      </w:r>
      <w:r w:rsidR="00626B28" w:rsidRPr="00025436">
        <w:rPr>
          <w:rFonts w:ascii="Calibri" w:eastAsiaTheme="minorHAnsi" w:hAnsi="Calibri" w:cs="Calibri"/>
        </w:rPr>
        <w:t xml:space="preserve">whether the threshold for exceptional funding has been met. </w:t>
      </w:r>
      <w:r w:rsidR="00EA2F46" w:rsidRPr="00025436">
        <w:rPr>
          <w:rFonts w:ascii="Calibri" w:eastAsiaTheme="minorHAnsi" w:hAnsi="Calibri" w:cs="Calibri"/>
        </w:rPr>
        <w:t>It is important to note that funding will not be agreed for:</w:t>
      </w:r>
    </w:p>
    <w:p w14:paraId="019E2AB0" w14:textId="18C7A66F" w:rsidR="00EA2F46" w:rsidRPr="00025436" w:rsidRDefault="00EA2F46" w:rsidP="009B4E11">
      <w:pPr>
        <w:pStyle w:val="ListParagraph"/>
        <w:numPr>
          <w:ilvl w:val="1"/>
          <w:numId w:val="16"/>
        </w:numPr>
        <w:spacing w:afterLines="200" w:after="480"/>
        <w:rPr>
          <w:rFonts w:ascii="Calibri" w:eastAsiaTheme="minorHAnsi" w:hAnsi="Calibri" w:cs="Calibri"/>
        </w:rPr>
      </w:pPr>
      <w:r w:rsidRPr="00025436">
        <w:rPr>
          <w:rFonts w:ascii="Calibri" w:eastAsiaTheme="minorHAnsi" w:hAnsi="Calibri" w:cs="Calibri"/>
        </w:rPr>
        <w:t>Transport to and from alternative provision</w:t>
      </w:r>
    </w:p>
    <w:p w14:paraId="2AED2B8D" w14:textId="7EDBC5D3" w:rsidR="00EA2F46" w:rsidRPr="00025436" w:rsidRDefault="00C30009" w:rsidP="009B4E11">
      <w:pPr>
        <w:pStyle w:val="ListParagraph"/>
        <w:numPr>
          <w:ilvl w:val="1"/>
          <w:numId w:val="16"/>
        </w:numPr>
        <w:spacing w:afterLines="200" w:after="480"/>
        <w:rPr>
          <w:rFonts w:ascii="Calibri" w:eastAsiaTheme="minorHAnsi" w:hAnsi="Calibri" w:cs="Calibri"/>
        </w:rPr>
      </w:pPr>
      <w:r w:rsidRPr="00025436">
        <w:rPr>
          <w:rFonts w:ascii="Calibri" w:eastAsiaTheme="minorHAnsi" w:hAnsi="Calibri" w:cs="Calibri"/>
        </w:rPr>
        <w:t>A</w:t>
      </w:r>
      <w:r w:rsidR="00EA2F46" w:rsidRPr="00025436">
        <w:rPr>
          <w:rFonts w:ascii="Calibri" w:eastAsiaTheme="minorHAnsi" w:hAnsi="Calibri" w:cs="Calibri"/>
        </w:rPr>
        <w:t>dditional staffing</w:t>
      </w:r>
      <w:r w:rsidR="007006DF" w:rsidRPr="00025436">
        <w:rPr>
          <w:rFonts w:ascii="Calibri" w:eastAsiaTheme="minorHAnsi" w:hAnsi="Calibri" w:cs="Calibri"/>
        </w:rPr>
        <w:t xml:space="preserve"> including staff supporting in the pupil’s home. </w:t>
      </w:r>
    </w:p>
    <w:p w14:paraId="2357F580" w14:textId="3B63E4A5" w:rsidR="00EA2F46" w:rsidRPr="00025436" w:rsidRDefault="00C30009" w:rsidP="009B4E11">
      <w:pPr>
        <w:pStyle w:val="ListParagraph"/>
        <w:numPr>
          <w:ilvl w:val="1"/>
          <w:numId w:val="16"/>
        </w:numPr>
        <w:spacing w:afterLines="200" w:after="480"/>
        <w:rPr>
          <w:rFonts w:ascii="Calibri" w:eastAsiaTheme="minorHAnsi" w:hAnsi="Calibri" w:cs="Calibri"/>
        </w:rPr>
      </w:pPr>
      <w:r w:rsidRPr="00025436">
        <w:rPr>
          <w:rFonts w:ascii="Calibri" w:eastAsiaTheme="minorHAnsi" w:hAnsi="Calibri" w:cs="Calibri"/>
        </w:rPr>
        <w:t>R</w:t>
      </w:r>
      <w:r w:rsidR="00EA2F46" w:rsidRPr="00025436">
        <w:rPr>
          <w:rFonts w:ascii="Calibri" w:eastAsiaTheme="minorHAnsi" w:hAnsi="Calibri" w:cs="Calibri"/>
        </w:rPr>
        <w:t>esources</w:t>
      </w:r>
    </w:p>
    <w:p w14:paraId="05D5D2D1" w14:textId="77777777" w:rsidR="00C30009" w:rsidRPr="00025436" w:rsidRDefault="00C30009" w:rsidP="0061467D">
      <w:pPr>
        <w:pStyle w:val="ListParagraph"/>
        <w:spacing w:afterLines="200" w:after="480"/>
        <w:ind w:left="499" w:hanging="357"/>
        <w:rPr>
          <w:rFonts w:ascii="Calibri" w:eastAsiaTheme="minorHAnsi" w:hAnsi="Calibri" w:cs="Calibri"/>
        </w:rPr>
      </w:pPr>
    </w:p>
    <w:p w14:paraId="34EF431B" w14:textId="7CE62CBE" w:rsidR="00EA2F46" w:rsidRPr="00025436" w:rsidRDefault="00EA2F46" w:rsidP="009B4E11">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 xml:space="preserve">If exceptional funding is agreed, the Education Access Specialist will confirm with the referrer. Schools will be required to submit an invoice to initiate payment. A copy of the funding request, agreement and invoice should be sent to the Education Access Team Invoices mailbox: </w:t>
      </w:r>
      <w:hyperlink r:id="rId9" w:history="1">
        <w:r w:rsidRPr="00025436">
          <w:rPr>
            <w:rStyle w:val="Hyperlink"/>
            <w:rFonts w:ascii="Calibri" w:eastAsiaTheme="minorHAnsi" w:hAnsi="Calibri" w:cs="Calibri"/>
            <w:color w:val="auto"/>
          </w:rPr>
          <w:t>EAT.Invoices@essex.gov.uk</w:t>
        </w:r>
      </w:hyperlink>
      <w:r w:rsidRPr="00025436">
        <w:rPr>
          <w:rFonts w:ascii="Calibri" w:eastAsiaTheme="minorHAnsi" w:hAnsi="Calibri" w:cs="Calibri"/>
        </w:rPr>
        <w:t xml:space="preserve"> </w:t>
      </w:r>
    </w:p>
    <w:p w14:paraId="58CBE52D" w14:textId="77777777" w:rsidR="00126390" w:rsidRPr="00025436" w:rsidRDefault="00126390" w:rsidP="00126390">
      <w:pPr>
        <w:pStyle w:val="ListParagraph"/>
        <w:spacing w:afterLines="200" w:after="480"/>
        <w:ind w:left="499"/>
        <w:rPr>
          <w:rFonts w:ascii="Calibri" w:eastAsiaTheme="minorHAnsi" w:hAnsi="Calibri" w:cs="Calibri"/>
        </w:rPr>
      </w:pPr>
    </w:p>
    <w:p w14:paraId="193516F6" w14:textId="79B7F7AA" w:rsidR="007006DF" w:rsidRPr="00025436" w:rsidRDefault="00126390" w:rsidP="00903DFC">
      <w:pPr>
        <w:pStyle w:val="ListParagraph"/>
        <w:numPr>
          <w:ilvl w:val="0"/>
          <w:numId w:val="16"/>
        </w:numPr>
        <w:spacing w:afterLines="200" w:after="480"/>
        <w:rPr>
          <w:rFonts w:ascii="Calibri" w:eastAsiaTheme="minorHAnsi" w:hAnsi="Calibri" w:cs="Calibri"/>
        </w:rPr>
      </w:pPr>
      <w:r w:rsidRPr="00025436">
        <w:rPr>
          <w:rFonts w:ascii="Calibri" w:eastAsiaTheme="minorHAnsi" w:hAnsi="Calibri" w:cs="Calibri"/>
        </w:rPr>
        <w:t>If the funding request exceeds £2</w:t>
      </w:r>
      <w:r w:rsidR="00952A64" w:rsidRPr="00025436">
        <w:rPr>
          <w:rFonts w:ascii="Calibri" w:eastAsiaTheme="minorHAnsi" w:hAnsi="Calibri" w:cs="Calibri"/>
        </w:rPr>
        <w:t>,</w:t>
      </w:r>
      <w:r w:rsidRPr="00025436">
        <w:rPr>
          <w:rFonts w:ascii="Calibri" w:eastAsiaTheme="minorHAnsi" w:hAnsi="Calibri" w:cs="Calibri"/>
        </w:rPr>
        <w:t xml:space="preserve">500, the Education Access Specialist will be required to present the request at the </w:t>
      </w:r>
      <w:r w:rsidR="0000269D" w:rsidRPr="00025436">
        <w:rPr>
          <w:rFonts w:ascii="Calibri" w:eastAsiaTheme="minorHAnsi" w:hAnsi="Calibri" w:cs="Calibri"/>
        </w:rPr>
        <w:t xml:space="preserve">Education Access </w:t>
      </w:r>
      <w:r w:rsidRPr="00025436">
        <w:rPr>
          <w:rFonts w:ascii="Calibri" w:eastAsiaTheme="minorHAnsi" w:hAnsi="Calibri" w:cs="Calibri"/>
        </w:rPr>
        <w:t xml:space="preserve">team’s Complex Advice Panel (CAP) for approval. </w:t>
      </w:r>
    </w:p>
    <w:p w14:paraId="5EF109C6" w14:textId="77777777" w:rsidR="00952A64" w:rsidRPr="00025436" w:rsidRDefault="00952A64" w:rsidP="00952A64">
      <w:pPr>
        <w:pStyle w:val="ListParagraph"/>
        <w:rPr>
          <w:rFonts w:ascii="Calibri" w:eastAsiaTheme="minorHAnsi" w:hAnsi="Calibri" w:cs="Calibri"/>
        </w:rPr>
      </w:pPr>
    </w:p>
    <w:p w14:paraId="31855E56" w14:textId="2C00036E" w:rsidR="00E74C2C" w:rsidRPr="00025436" w:rsidRDefault="00B1031B" w:rsidP="00952A64">
      <w:pPr>
        <w:pStyle w:val="ListParagraph"/>
        <w:numPr>
          <w:ilvl w:val="0"/>
          <w:numId w:val="16"/>
        </w:numPr>
        <w:spacing w:afterLines="200" w:after="480"/>
        <w:rPr>
          <w:rFonts w:ascii="Calibri" w:eastAsiaTheme="minorHAnsi" w:hAnsi="Calibri" w:cs="Calibri"/>
        </w:rPr>
      </w:pPr>
      <w:r w:rsidRPr="00025436">
        <w:rPr>
          <w:rFonts w:ascii="Calibri" w:eastAsiaTheme="minorHAnsi" w:hAnsi="Calibri" w:cs="Calibri"/>
        </w:rPr>
        <w:t xml:space="preserve">Any pupil who is in receipt on exceptional funding will remain on roll to the referring school. The referring school must ensure that they fulfil their safeguarding duties whilst the pupil is accessing offsite alternative provision. The school must also consider how the pupil remains part of the school community whilst they access their alternative provision placement, as this is imperative to a successful reintegration. </w:t>
      </w:r>
    </w:p>
    <w:p w14:paraId="6480E46E" w14:textId="77777777" w:rsidR="00E74C2C" w:rsidRPr="00025436" w:rsidRDefault="00E74C2C" w:rsidP="0061467D">
      <w:pPr>
        <w:pStyle w:val="ListParagraph"/>
        <w:ind w:left="499" w:hanging="357"/>
        <w:rPr>
          <w:rFonts w:ascii="Calibri" w:eastAsiaTheme="minorHAnsi" w:hAnsi="Calibri" w:cs="Calibri"/>
          <w:b/>
          <w:bCs/>
          <w:sz w:val="28"/>
          <w:szCs w:val="28"/>
        </w:rPr>
      </w:pPr>
    </w:p>
    <w:p w14:paraId="2D964D2C" w14:textId="77777777" w:rsidR="00E74C2C" w:rsidRPr="00025436" w:rsidRDefault="00AB5D2B" w:rsidP="00297EA9">
      <w:pPr>
        <w:contextualSpacing/>
        <w:rPr>
          <w:rFonts w:ascii="Calibri" w:eastAsiaTheme="minorHAnsi" w:hAnsi="Calibri" w:cs="Calibri"/>
        </w:rPr>
      </w:pPr>
      <w:r w:rsidRPr="00025436">
        <w:rPr>
          <w:rFonts w:ascii="Calibri" w:eastAsiaTheme="minorHAnsi" w:hAnsi="Calibri" w:cs="Calibri"/>
          <w:b/>
          <w:bCs/>
          <w:sz w:val="28"/>
          <w:szCs w:val="28"/>
        </w:rPr>
        <w:t>Exceptional provision</w:t>
      </w:r>
      <w:r w:rsidRPr="00025436">
        <w:rPr>
          <w:rFonts w:ascii="Calibri" w:eastAsiaTheme="minorHAnsi" w:hAnsi="Calibri" w:cs="Calibri"/>
          <w:sz w:val="28"/>
          <w:szCs w:val="28"/>
        </w:rPr>
        <w:t xml:space="preserve"> </w:t>
      </w:r>
    </w:p>
    <w:p w14:paraId="7A885009" w14:textId="77777777" w:rsidR="00044316" w:rsidRPr="00025436" w:rsidRDefault="00044316" w:rsidP="0061467D">
      <w:pPr>
        <w:ind w:left="499" w:hanging="357"/>
        <w:contextualSpacing/>
        <w:rPr>
          <w:rFonts w:ascii="Calibri" w:eastAsiaTheme="minorHAnsi" w:hAnsi="Calibri" w:cs="Calibri"/>
          <w:b/>
          <w:bCs/>
          <w:sz w:val="24"/>
          <w:szCs w:val="24"/>
        </w:rPr>
      </w:pPr>
    </w:p>
    <w:p w14:paraId="041B320B" w14:textId="285907AD" w:rsidR="005A6FAF" w:rsidRPr="00025436" w:rsidRDefault="00055C7E" w:rsidP="00297EA9">
      <w:pPr>
        <w:contextualSpacing/>
        <w:rPr>
          <w:rFonts w:ascii="Calibri" w:eastAsiaTheme="minorHAnsi" w:hAnsi="Calibri" w:cs="Calibri"/>
        </w:rPr>
      </w:pPr>
      <w:r w:rsidRPr="00025436">
        <w:rPr>
          <w:rFonts w:ascii="Calibri" w:eastAsiaTheme="minorHAnsi" w:hAnsi="Calibri" w:cs="Calibri"/>
          <w:b/>
          <w:bCs/>
          <w:sz w:val="24"/>
          <w:szCs w:val="24"/>
        </w:rPr>
        <w:t>Threshold</w:t>
      </w:r>
    </w:p>
    <w:p w14:paraId="378B2431" w14:textId="0247D13D" w:rsidR="009D4437" w:rsidRPr="00025436" w:rsidRDefault="00305C34" w:rsidP="009B4E11">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 xml:space="preserve">A request for exceptional provision is appropriate to consider where schools are seeking support through the LA’s commissioned </w:t>
      </w:r>
      <w:r w:rsidR="00055C7E" w:rsidRPr="00025436">
        <w:rPr>
          <w:rFonts w:ascii="Calibri" w:eastAsiaTheme="minorHAnsi" w:hAnsi="Calibri" w:cs="Calibri"/>
        </w:rPr>
        <w:t xml:space="preserve">IPES (Individual Package of Educational Support) framework.  </w:t>
      </w:r>
    </w:p>
    <w:p w14:paraId="7B1A555F" w14:textId="77777777" w:rsidR="00E74C2C" w:rsidRPr="00025436" w:rsidRDefault="00E74C2C" w:rsidP="0061467D">
      <w:pPr>
        <w:pStyle w:val="ListParagraph"/>
        <w:spacing w:afterLines="200" w:after="480"/>
        <w:ind w:left="499" w:hanging="357"/>
        <w:rPr>
          <w:rFonts w:ascii="Calibri" w:eastAsiaTheme="minorHAnsi" w:hAnsi="Calibri" w:cs="Calibri"/>
        </w:rPr>
      </w:pPr>
    </w:p>
    <w:p w14:paraId="5371FD67" w14:textId="4760155B" w:rsidR="00055C7E" w:rsidRPr="00025436" w:rsidRDefault="008D5626" w:rsidP="009B4E11">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 xml:space="preserve">Exceptional provision requests are appropriate in circumstances where the type of alternative education required is available through the IPES framework, </w:t>
      </w:r>
      <w:r w:rsidR="00297EA9" w:rsidRPr="00025436">
        <w:rPr>
          <w:rFonts w:ascii="Calibri" w:eastAsiaTheme="minorHAnsi" w:hAnsi="Calibri" w:cs="Calibri"/>
        </w:rPr>
        <w:t>for example</w:t>
      </w:r>
      <w:r w:rsidRPr="00025436">
        <w:rPr>
          <w:rFonts w:ascii="Calibri" w:eastAsiaTheme="minorHAnsi" w:hAnsi="Calibri" w:cs="Calibri"/>
        </w:rPr>
        <w:t xml:space="preserve"> 1:1 tuition. Details of IPES providers can be found here: </w:t>
      </w:r>
      <w:hyperlink r:id="rId10" w:history="1">
        <w:r w:rsidRPr="00025436">
          <w:rPr>
            <w:rStyle w:val="Hyperlink"/>
            <w:rFonts w:ascii="Calibri" w:eastAsiaTheme="minorHAnsi" w:hAnsi="Calibri" w:cs="Calibri"/>
            <w:color w:val="auto"/>
          </w:rPr>
          <w:t xml:space="preserve">Alternative Provision Directory </w:t>
        </w:r>
      </w:hyperlink>
      <w:r w:rsidRPr="00025436">
        <w:rPr>
          <w:rFonts w:ascii="Calibri" w:eastAsiaTheme="minorHAnsi" w:hAnsi="Calibri" w:cs="Calibri"/>
        </w:rPr>
        <w:t xml:space="preserve"> </w:t>
      </w:r>
    </w:p>
    <w:p w14:paraId="1AD11294" w14:textId="77777777" w:rsidR="00E74C2C" w:rsidRPr="00025436" w:rsidRDefault="00E74C2C" w:rsidP="0061467D">
      <w:pPr>
        <w:pStyle w:val="ListParagraph"/>
        <w:spacing w:afterLines="200" w:after="480"/>
        <w:ind w:left="499" w:hanging="357"/>
        <w:rPr>
          <w:rFonts w:ascii="Calibri" w:eastAsiaTheme="minorHAnsi" w:hAnsi="Calibri" w:cs="Calibri"/>
        </w:rPr>
      </w:pPr>
    </w:p>
    <w:p w14:paraId="03FAC367" w14:textId="3A07F509" w:rsidR="00055C7E" w:rsidRPr="00025436" w:rsidRDefault="00055C7E" w:rsidP="009B4E11">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 xml:space="preserve">Exceptional provision requests cannot be used to circumvent the exclusion process. Exceptional provision referrals should only be considered in situations where the school is committed to the pupil returning to the school site, and for the pupil to remain part of the school community. </w:t>
      </w:r>
    </w:p>
    <w:p w14:paraId="2D90B9FA" w14:textId="77777777" w:rsidR="00E74C2C" w:rsidRPr="00025436" w:rsidRDefault="00E74C2C" w:rsidP="0061467D">
      <w:pPr>
        <w:pStyle w:val="ListParagraph"/>
        <w:spacing w:afterLines="200" w:after="480"/>
        <w:ind w:left="499" w:hanging="357"/>
        <w:rPr>
          <w:rFonts w:ascii="Calibri" w:eastAsiaTheme="minorHAnsi" w:hAnsi="Calibri" w:cs="Calibri"/>
        </w:rPr>
      </w:pPr>
    </w:p>
    <w:p w14:paraId="77ECC635" w14:textId="19B19B9F" w:rsidR="00055C7E" w:rsidRPr="00025436" w:rsidRDefault="00055C7E" w:rsidP="009B4E11">
      <w:pPr>
        <w:pStyle w:val="ListParagraph"/>
        <w:numPr>
          <w:ilvl w:val="0"/>
          <w:numId w:val="16"/>
        </w:numPr>
        <w:spacing w:afterLines="200" w:after="480"/>
        <w:ind w:left="499" w:hanging="357"/>
        <w:rPr>
          <w:rStyle w:val="cf01"/>
          <w:rFonts w:ascii="Calibri" w:hAnsi="Calibri" w:cs="Calibri"/>
          <w:sz w:val="20"/>
          <w:szCs w:val="20"/>
        </w:rPr>
      </w:pPr>
      <w:r w:rsidRPr="00025436">
        <w:rPr>
          <w:rStyle w:val="cf01"/>
          <w:rFonts w:ascii="Calibri" w:hAnsi="Calibri" w:cs="Calibri"/>
          <w:sz w:val="20"/>
          <w:szCs w:val="20"/>
        </w:rPr>
        <w:t xml:space="preserve">Where exceptional provision is being sought for a pupil at risk of exclusion, parental consent must be sought prior to making the referral. The school and the Education Access team must act in accordance with statutory guidance and must ensure that the agreement does not constitute an illegal exclusion, with the parent/carer being denied their right to make representations to the governing board. </w:t>
      </w:r>
    </w:p>
    <w:p w14:paraId="6FC5EA69" w14:textId="77777777" w:rsidR="00E74C2C" w:rsidRPr="00025436" w:rsidRDefault="00E74C2C" w:rsidP="0061467D">
      <w:pPr>
        <w:pStyle w:val="ListParagraph"/>
        <w:spacing w:afterLines="200" w:after="480"/>
        <w:ind w:left="499" w:hanging="357"/>
        <w:rPr>
          <w:rStyle w:val="cf01"/>
          <w:rFonts w:ascii="Calibri" w:hAnsi="Calibri" w:cs="Calibri"/>
          <w:sz w:val="20"/>
          <w:szCs w:val="20"/>
        </w:rPr>
      </w:pPr>
    </w:p>
    <w:p w14:paraId="2E0D9E76" w14:textId="47CDB2B1" w:rsidR="00144701" w:rsidRPr="00025436" w:rsidRDefault="00144701" w:rsidP="009B4E11">
      <w:pPr>
        <w:pStyle w:val="ListParagraph"/>
        <w:numPr>
          <w:ilvl w:val="0"/>
          <w:numId w:val="16"/>
        </w:numPr>
        <w:spacing w:afterLines="200" w:after="480"/>
        <w:ind w:left="499" w:hanging="357"/>
        <w:rPr>
          <w:rStyle w:val="cf01"/>
          <w:rFonts w:ascii="Calibri" w:hAnsi="Calibri" w:cs="Calibri"/>
          <w:sz w:val="20"/>
          <w:szCs w:val="20"/>
        </w:rPr>
      </w:pPr>
      <w:r w:rsidRPr="00025436">
        <w:rPr>
          <w:rFonts w:ascii="Calibri" w:eastAsiaTheme="minorHAnsi" w:hAnsi="Calibri" w:cs="Calibri"/>
        </w:rPr>
        <w:lastRenderedPageBreak/>
        <w:t xml:space="preserve">Exceptional provision requests </w:t>
      </w:r>
      <w:r w:rsidRPr="00025436">
        <w:rPr>
          <w:rStyle w:val="cf01"/>
          <w:rFonts w:ascii="Calibri" w:hAnsi="Calibri" w:cs="Calibri"/>
          <w:sz w:val="20"/>
          <w:szCs w:val="20"/>
        </w:rPr>
        <w:t xml:space="preserve">should clearly outline the rationale for intervention. Exceptional provision agreements are time-limited interventions with an identified exit strategy. Requests for ongoing support will not be approved. </w:t>
      </w:r>
    </w:p>
    <w:p w14:paraId="60884FBC" w14:textId="77777777" w:rsidR="00E74C2C" w:rsidRPr="00025436" w:rsidRDefault="00E74C2C" w:rsidP="0061467D">
      <w:pPr>
        <w:pStyle w:val="ListParagraph"/>
        <w:spacing w:afterLines="200" w:after="480"/>
        <w:ind w:left="499" w:hanging="357"/>
        <w:rPr>
          <w:rStyle w:val="cf01"/>
          <w:rFonts w:ascii="Calibri" w:hAnsi="Calibri" w:cs="Calibri"/>
          <w:sz w:val="20"/>
          <w:szCs w:val="20"/>
        </w:rPr>
      </w:pPr>
    </w:p>
    <w:p w14:paraId="5FCAE661" w14:textId="612343CB" w:rsidR="00144701" w:rsidRPr="00025436" w:rsidRDefault="00144701" w:rsidP="009B4E11">
      <w:pPr>
        <w:pStyle w:val="ListParagraph"/>
        <w:numPr>
          <w:ilvl w:val="0"/>
          <w:numId w:val="16"/>
        </w:numPr>
        <w:spacing w:afterLines="200" w:after="480"/>
        <w:ind w:left="499" w:hanging="357"/>
        <w:rPr>
          <w:rStyle w:val="cf01"/>
          <w:rFonts w:ascii="Calibri" w:hAnsi="Calibri" w:cs="Calibri"/>
          <w:sz w:val="20"/>
          <w:szCs w:val="20"/>
        </w:rPr>
      </w:pPr>
      <w:r w:rsidRPr="00025436">
        <w:rPr>
          <w:rStyle w:val="cf01"/>
          <w:rFonts w:ascii="Calibri" w:hAnsi="Calibri" w:cs="Calibri"/>
          <w:sz w:val="20"/>
          <w:szCs w:val="20"/>
        </w:rPr>
        <w:t xml:space="preserve">Where exceptional provision has been agreed, the school remain responsible for undertaking quality checks prior to working with the provider. The school must also ensure that provision is carefully planned and reviewed to ensure it remains suitable and is meeting the desired outcomes. Further guidance can be found here: </w:t>
      </w:r>
      <w:hyperlink r:id="rId11" w:history="1">
        <w:r w:rsidRPr="00025436">
          <w:rPr>
            <w:rStyle w:val="Hyperlink"/>
            <w:rFonts w:ascii="Calibri" w:hAnsi="Calibri" w:cs="Calibri"/>
            <w:color w:val="auto"/>
          </w:rPr>
          <w:t>https://essexcc.pagetiger.com/safeguarding-AP/1</w:t>
        </w:r>
      </w:hyperlink>
      <w:r w:rsidRPr="00025436">
        <w:rPr>
          <w:rStyle w:val="cf01"/>
          <w:rFonts w:ascii="Calibri" w:hAnsi="Calibri" w:cs="Calibri"/>
          <w:sz w:val="20"/>
          <w:szCs w:val="20"/>
        </w:rPr>
        <w:t xml:space="preserve"> </w:t>
      </w:r>
    </w:p>
    <w:p w14:paraId="34116839" w14:textId="77777777" w:rsidR="007006DF" w:rsidRPr="00025436" w:rsidRDefault="007006DF" w:rsidP="007006DF">
      <w:pPr>
        <w:pStyle w:val="ListParagraph"/>
        <w:rPr>
          <w:rStyle w:val="cf01"/>
          <w:rFonts w:ascii="Calibri" w:hAnsi="Calibri" w:cs="Calibri"/>
          <w:sz w:val="20"/>
          <w:szCs w:val="20"/>
        </w:rPr>
      </w:pPr>
    </w:p>
    <w:p w14:paraId="7C1C6734" w14:textId="77777777" w:rsidR="008D1D3B" w:rsidRPr="00025436" w:rsidRDefault="00144701" w:rsidP="008D1D3B">
      <w:pPr>
        <w:pStyle w:val="ListParagraph"/>
        <w:numPr>
          <w:ilvl w:val="0"/>
          <w:numId w:val="16"/>
        </w:numPr>
        <w:spacing w:afterLines="200" w:after="480"/>
        <w:ind w:left="499" w:hanging="357"/>
        <w:rPr>
          <w:rStyle w:val="cf01"/>
          <w:rFonts w:ascii="Calibri" w:hAnsi="Calibri" w:cs="Calibri"/>
          <w:sz w:val="20"/>
          <w:szCs w:val="20"/>
        </w:rPr>
      </w:pPr>
      <w:r w:rsidRPr="00025436">
        <w:rPr>
          <w:rStyle w:val="cf01"/>
          <w:rFonts w:ascii="Calibri" w:hAnsi="Calibri" w:cs="Calibri"/>
          <w:sz w:val="20"/>
          <w:szCs w:val="20"/>
        </w:rPr>
        <w:t xml:space="preserve">As part of the evidence required to support an exceptional provision request, the Education Access team will need to be involved in placement planning and review meetings. Where attendance is not possible, </w:t>
      </w:r>
      <w:r w:rsidR="007006DF" w:rsidRPr="00025436">
        <w:rPr>
          <w:rStyle w:val="cf01"/>
          <w:rFonts w:ascii="Calibri" w:hAnsi="Calibri" w:cs="Calibri"/>
          <w:sz w:val="20"/>
          <w:szCs w:val="20"/>
        </w:rPr>
        <w:t xml:space="preserve">the </w:t>
      </w:r>
      <w:r w:rsidRPr="00025436">
        <w:rPr>
          <w:rStyle w:val="cf01"/>
          <w:rFonts w:ascii="Calibri" w:hAnsi="Calibri" w:cs="Calibri"/>
          <w:sz w:val="20"/>
          <w:szCs w:val="20"/>
        </w:rPr>
        <w:t>school should</w:t>
      </w:r>
      <w:r w:rsidR="007006DF" w:rsidRPr="00025436">
        <w:rPr>
          <w:rStyle w:val="cf01"/>
          <w:rFonts w:ascii="Calibri" w:hAnsi="Calibri" w:cs="Calibri"/>
          <w:sz w:val="20"/>
          <w:szCs w:val="20"/>
        </w:rPr>
        <w:t xml:space="preserve"> ensure planning and review documentation is sent to the Education Access Specialist. </w:t>
      </w:r>
    </w:p>
    <w:p w14:paraId="68B0357E" w14:textId="77777777" w:rsidR="008D1D3B" w:rsidRPr="00025436" w:rsidRDefault="008D1D3B" w:rsidP="008D1D3B">
      <w:pPr>
        <w:pStyle w:val="ListParagraph"/>
        <w:rPr>
          <w:rFonts w:ascii="Calibri" w:eastAsiaTheme="minorHAnsi" w:hAnsi="Calibri" w:cs="Calibri"/>
          <w:b/>
          <w:bCs/>
          <w:sz w:val="24"/>
          <w:szCs w:val="24"/>
        </w:rPr>
      </w:pPr>
    </w:p>
    <w:p w14:paraId="6A7AEC9E" w14:textId="6A167F3E" w:rsidR="00144701" w:rsidRPr="00025436" w:rsidRDefault="00144701" w:rsidP="008D1D3B">
      <w:pPr>
        <w:pStyle w:val="ListParagraph"/>
        <w:spacing w:afterLines="200" w:after="480"/>
        <w:ind w:left="499"/>
        <w:rPr>
          <w:rFonts w:ascii="Calibri" w:hAnsi="Calibri" w:cs="Calibri"/>
        </w:rPr>
      </w:pPr>
      <w:r w:rsidRPr="00025436">
        <w:rPr>
          <w:rFonts w:ascii="Calibri" w:eastAsiaTheme="minorHAnsi" w:hAnsi="Calibri" w:cs="Calibri"/>
          <w:b/>
          <w:bCs/>
          <w:sz w:val="24"/>
          <w:szCs w:val="24"/>
        </w:rPr>
        <w:t xml:space="preserve">Accessing support </w:t>
      </w:r>
    </w:p>
    <w:p w14:paraId="514E6212" w14:textId="77777777" w:rsidR="00903DFC" w:rsidRPr="00025436" w:rsidRDefault="00903DFC" w:rsidP="007006DF">
      <w:pPr>
        <w:pStyle w:val="ListParagraph"/>
        <w:spacing w:afterLines="200" w:after="480"/>
        <w:ind w:left="142"/>
        <w:rPr>
          <w:rFonts w:ascii="Calibri" w:eastAsiaTheme="minorHAnsi" w:hAnsi="Calibri" w:cs="Calibri"/>
          <w:b/>
          <w:bCs/>
          <w:sz w:val="24"/>
          <w:szCs w:val="24"/>
        </w:rPr>
      </w:pPr>
    </w:p>
    <w:p w14:paraId="37BF7128" w14:textId="7E3A2876" w:rsidR="00903DFC" w:rsidRPr="00025436" w:rsidRDefault="00903DFC" w:rsidP="00903DFC">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To access a request for support IPES placement, schools are required to complete the referral paperwork. Referral paperwork must be completed in full.</w:t>
      </w:r>
    </w:p>
    <w:p w14:paraId="0729065B" w14:textId="77777777" w:rsidR="00E74C2C" w:rsidRPr="00025436" w:rsidRDefault="00E74C2C" w:rsidP="0061467D">
      <w:pPr>
        <w:pStyle w:val="ListParagraph"/>
        <w:spacing w:afterLines="200" w:after="480"/>
        <w:ind w:left="499" w:hanging="357"/>
        <w:rPr>
          <w:rFonts w:ascii="Calibri" w:eastAsiaTheme="minorHAnsi" w:hAnsi="Calibri" w:cs="Calibri"/>
        </w:rPr>
      </w:pPr>
    </w:p>
    <w:p w14:paraId="63251B66" w14:textId="63B10504" w:rsidR="00903DFC" w:rsidRPr="00025436" w:rsidRDefault="00903DFC" w:rsidP="00903DFC">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The Education Access team will triage the referral paperwork to determine whether the request meets the threshold for further consideration at either the quadrant panel meeting or school-based meeting. The Education Access team will confirm the outcome of the request with the referring school.</w:t>
      </w:r>
    </w:p>
    <w:p w14:paraId="5CC4B6F4" w14:textId="77777777" w:rsidR="00903DFC" w:rsidRPr="00025436" w:rsidRDefault="00903DFC" w:rsidP="00903DFC">
      <w:pPr>
        <w:pStyle w:val="ListParagraph"/>
        <w:rPr>
          <w:rFonts w:ascii="Calibri" w:eastAsiaTheme="minorHAnsi" w:hAnsi="Calibri" w:cs="Calibri"/>
        </w:rPr>
      </w:pPr>
    </w:p>
    <w:p w14:paraId="63CB52B7" w14:textId="033B87E9" w:rsidR="0000269D" w:rsidRPr="00025436" w:rsidRDefault="0000269D" w:rsidP="0000269D">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For referrals from secondary schools, the school will be required to attend the quadrant panel meeting to present the case. Each panel will include representatives from the PRU, Education Access</w:t>
      </w:r>
      <w:r w:rsidR="00D40A5C" w:rsidRPr="00025436">
        <w:rPr>
          <w:rFonts w:ascii="Calibri" w:eastAsiaTheme="minorHAnsi" w:hAnsi="Calibri" w:cs="Calibri"/>
        </w:rPr>
        <w:t>, school representatives</w:t>
      </w:r>
      <w:r w:rsidRPr="00025436">
        <w:rPr>
          <w:rFonts w:ascii="Calibri" w:eastAsiaTheme="minorHAnsi" w:hAnsi="Calibri" w:cs="Calibri"/>
        </w:rPr>
        <w:t xml:space="preserve"> and wider agencies. The outcome of the referral will be determined at panel and will include a rationale for the decision. </w:t>
      </w:r>
    </w:p>
    <w:p w14:paraId="0A312694" w14:textId="77777777" w:rsidR="0000269D" w:rsidRPr="00025436" w:rsidRDefault="0000269D" w:rsidP="0000269D">
      <w:pPr>
        <w:pStyle w:val="ListParagraph"/>
        <w:rPr>
          <w:rFonts w:ascii="Calibri" w:eastAsiaTheme="minorHAnsi" w:hAnsi="Calibri" w:cs="Calibri"/>
        </w:rPr>
      </w:pPr>
    </w:p>
    <w:p w14:paraId="2339678A" w14:textId="0C922FDE" w:rsidR="00903DFC" w:rsidRPr="00025436" w:rsidRDefault="0000269D" w:rsidP="0000269D">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 xml:space="preserve">For referrals from primary schools, the school will either be required to attend the quadrant panel meeting, where they are set up to consider such requests, or a separate meeting will be arranged with the Education Access team and the PRU. The Education Access team will confirm the route for consideration with the referrer.   </w:t>
      </w:r>
    </w:p>
    <w:p w14:paraId="74A63E7E" w14:textId="77777777" w:rsidR="00903DFC" w:rsidRPr="00025436" w:rsidRDefault="00903DFC" w:rsidP="00903DFC">
      <w:pPr>
        <w:pStyle w:val="ListParagraph"/>
        <w:spacing w:afterLines="200" w:after="480"/>
        <w:ind w:left="499"/>
        <w:rPr>
          <w:rFonts w:ascii="Calibri" w:eastAsiaTheme="minorHAnsi" w:hAnsi="Calibri" w:cs="Calibri"/>
        </w:rPr>
      </w:pPr>
    </w:p>
    <w:p w14:paraId="5A66D2BF" w14:textId="1CF17DED" w:rsidR="00144701" w:rsidRPr="00025436" w:rsidRDefault="00903DFC" w:rsidP="00903DFC">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 xml:space="preserve">Placements will be agreed for one term initially. Extensions can be discussed with the Education Access Specialist at the placement review meeting and will be considered on a case-by-case basis. </w:t>
      </w:r>
    </w:p>
    <w:p w14:paraId="3F4B2B3E" w14:textId="77777777" w:rsidR="00E74C2C" w:rsidRPr="00025436" w:rsidRDefault="00E74C2C" w:rsidP="0061467D">
      <w:pPr>
        <w:pStyle w:val="ListParagraph"/>
        <w:spacing w:afterLines="200" w:after="480"/>
        <w:ind w:left="499" w:hanging="357"/>
        <w:rPr>
          <w:rFonts w:ascii="Calibri" w:eastAsiaTheme="minorHAnsi" w:hAnsi="Calibri" w:cs="Calibri"/>
        </w:rPr>
      </w:pPr>
    </w:p>
    <w:p w14:paraId="5649BA2B" w14:textId="5EDD51E0" w:rsidR="00903DFC" w:rsidRPr="00025436" w:rsidRDefault="00144701" w:rsidP="00903DFC">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 xml:space="preserve">Any pupil who is in receipt on exceptional provision will remain on roll to the referring school. The referring school must ensure that they fulfil their safeguarding duties whilst the pupil is accessing offsite alternative provision. The school must also consider how the pupil remains part of the school community whilst they access their alternative provision placement, as this is imperative to a successful reintegration. </w:t>
      </w:r>
    </w:p>
    <w:p w14:paraId="5A619C07" w14:textId="77777777" w:rsidR="00903DFC" w:rsidRPr="00025436" w:rsidRDefault="00903DFC" w:rsidP="00903DFC">
      <w:pPr>
        <w:pStyle w:val="ListParagraph"/>
        <w:rPr>
          <w:rFonts w:ascii="Calibri" w:eastAsiaTheme="minorHAnsi" w:hAnsi="Calibri" w:cs="Calibri"/>
        </w:rPr>
      </w:pPr>
    </w:p>
    <w:p w14:paraId="7C37E469" w14:textId="6F0937B3" w:rsidR="00903DFC" w:rsidRDefault="00903DFC" w:rsidP="00903DFC">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 xml:space="preserve">Any pupil who is accessing an exceptional provision placement will remain on roll to the referring school. The referring school must ensure that they fulfil their safeguarding duties whilst the pupil is accessing offsite alternative provision. The school must also consider how the pupil remains part of the school community whilst they access their alternative provision placement, as this is imperative to a successful reintegration. </w:t>
      </w:r>
    </w:p>
    <w:p w14:paraId="1D23E3B5" w14:textId="77777777" w:rsidR="009D5122" w:rsidRPr="009D5122" w:rsidRDefault="009D5122" w:rsidP="009D5122">
      <w:pPr>
        <w:pStyle w:val="ListParagraph"/>
        <w:rPr>
          <w:rFonts w:ascii="Calibri" w:eastAsiaTheme="minorHAnsi" w:hAnsi="Calibri" w:cs="Calibri"/>
        </w:rPr>
      </w:pPr>
    </w:p>
    <w:p w14:paraId="7368A1DB" w14:textId="52E37C09" w:rsidR="005B7043" w:rsidRPr="005B7043" w:rsidRDefault="005B7043" w:rsidP="00807921">
      <w:pPr>
        <w:pStyle w:val="bulletblock"/>
        <w:numPr>
          <w:ilvl w:val="0"/>
          <w:numId w:val="16"/>
        </w:numPr>
        <w:spacing w:afterLines="200" w:after="480" w:line="240" w:lineRule="auto"/>
        <w:ind w:left="142" w:hanging="357"/>
        <w:rPr>
          <w:rFonts w:ascii="Calibri" w:eastAsiaTheme="minorHAnsi" w:hAnsi="Calibri" w:cs="Calibri"/>
          <w:b/>
          <w:bCs/>
          <w:sz w:val="28"/>
          <w:szCs w:val="28"/>
        </w:rPr>
      </w:pPr>
      <w:r w:rsidRPr="005B7043">
        <w:rPr>
          <w:rFonts w:ascii="Calibri" w:eastAsiaTheme="minorHAnsi" w:hAnsi="Calibri" w:cs="Calibri"/>
          <w:sz w:val="20"/>
          <w:szCs w:val="20"/>
          <w:lang w:val="en-GB"/>
        </w:rPr>
        <w:lastRenderedPageBreak/>
        <w:t xml:space="preserve">Home to school transport </w:t>
      </w:r>
      <w:r w:rsidRPr="005B7043">
        <w:rPr>
          <w:rFonts w:ascii="Calibri" w:eastAsiaTheme="minorHAnsi" w:hAnsi="Calibri" w:cs="Calibri"/>
          <w:b/>
          <w:bCs/>
          <w:sz w:val="20"/>
          <w:szCs w:val="20"/>
          <w:lang w:val="en-GB"/>
        </w:rPr>
        <w:t>will not</w:t>
      </w:r>
      <w:r w:rsidRPr="005B7043">
        <w:rPr>
          <w:rFonts w:ascii="Calibri" w:eastAsiaTheme="minorHAnsi" w:hAnsi="Calibri" w:cs="Calibri"/>
          <w:sz w:val="20"/>
          <w:szCs w:val="20"/>
          <w:lang w:val="en-GB"/>
        </w:rPr>
        <w:t xml:space="preserve"> be awarded to support with exceptional provision requests. Transport arrangements will need to be agreed by the school or parent/carer.</w:t>
      </w:r>
    </w:p>
    <w:p w14:paraId="10164878" w14:textId="77777777" w:rsidR="005B7043" w:rsidRDefault="005B7043" w:rsidP="005B7043">
      <w:pPr>
        <w:pStyle w:val="ListParagraph"/>
        <w:rPr>
          <w:rFonts w:ascii="Calibri" w:eastAsiaTheme="minorHAnsi" w:hAnsi="Calibri" w:cs="Calibri"/>
          <w:b/>
          <w:bCs/>
          <w:sz w:val="28"/>
          <w:szCs w:val="28"/>
        </w:rPr>
      </w:pPr>
    </w:p>
    <w:p w14:paraId="39F66D8F" w14:textId="26004520" w:rsidR="00C0471B" w:rsidRPr="005B7043" w:rsidRDefault="00C0471B" w:rsidP="00807921">
      <w:pPr>
        <w:pStyle w:val="bulletblock"/>
        <w:numPr>
          <w:ilvl w:val="0"/>
          <w:numId w:val="16"/>
        </w:numPr>
        <w:spacing w:afterLines="200" w:after="480" w:line="240" w:lineRule="auto"/>
        <w:ind w:left="142" w:hanging="357"/>
        <w:rPr>
          <w:rFonts w:ascii="Calibri" w:eastAsiaTheme="minorHAnsi" w:hAnsi="Calibri" w:cs="Calibri"/>
          <w:b/>
          <w:bCs/>
          <w:sz w:val="28"/>
          <w:szCs w:val="28"/>
        </w:rPr>
      </w:pPr>
      <w:r w:rsidRPr="005B7043">
        <w:rPr>
          <w:rFonts w:ascii="Calibri" w:eastAsiaTheme="minorHAnsi" w:hAnsi="Calibri" w:cs="Calibri"/>
          <w:b/>
          <w:bCs/>
          <w:sz w:val="28"/>
          <w:szCs w:val="28"/>
        </w:rPr>
        <w:t xml:space="preserve">Pupils with an EHCP </w:t>
      </w:r>
    </w:p>
    <w:p w14:paraId="14B9E921" w14:textId="1D01B13C" w:rsidR="00C0471B" w:rsidRPr="00025436" w:rsidRDefault="00BF714B" w:rsidP="009B4E11">
      <w:pPr>
        <w:pStyle w:val="ListParagraph"/>
        <w:numPr>
          <w:ilvl w:val="0"/>
          <w:numId w:val="16"/>
        </w:numPr>
        <w:spacing w:afterLines="200" w:after="480"/>
        <w:ind w:left="499" w:hanging="357"/>
        <w:rPr>
          <w:rFonts w:ascii="Calibri" w:eastAsiaTheme="minorHAnsi" w:hAnsi="Calibri" w:cs="Calibri"/>
        </w:rPr>
      </w:pPr>
      <w:r w:rsidRPr="00025436">
        <w:rPr>
          <w:rFonts w:ascii="Calibri" w:eastAsiaTheme="minorHAnsi" w:hAnsi="Calibri" w:cs="Calibri"/>
        </w:rPr>
        <w:t xml:space="preserve">Education Access will not be able to consider requests for exceptional funding and exceptional provision for any pupil with an EHCP. All requests for pupils with an EHCP should be directed to the appropriate SEND Operations team for consideration. </w:t>
      </w:r>
    </w:p>
    <w:p w14:paraId="01B42B13" w14:textId="77777777" w:rsidR="005F533C" w:rsidRPr="00025436" w:rsidRDefault="005F533C" w:rsidP="005F533C">
      <w:pPr>
        <w:spacing w:afterLines="200" w:after="480"/>
        <w:ind w:firstLine="142"/>
        <w:rPr>
          <w:rFonts w:ascii="Calibri" w:eastAsiaTheme="minorHAnsi" w:hAnsi="Calibri" w:cs="Calibri"/>
          <w:b/>
          <w:bCs/>
          <w:sz w:val="28"/>
          <w:szCs w:val="28"/>
        </w:rPr>
      </w:pPr>
    </w:p>
    <w:p w14:paraId="0FAB8A69" w14:textId="77777777" w:rsidR="006F7521" w:rsidRPr="00025436" w:rsidRDefault="006F7521" w:rsidP="005040B1">
      <w:pPr>
        <w:spacing w:after="0" w:line="360" w:lineRule="auto"/>
        <w:ind w:left="1134"/>
        <w:rPr>
          <w:rFonts w:ascii="Calibri" w:eastAsiaTheme="minorHAnsi" w:hAnsi="Calibri" w:cs="Calibri"/>
        </w:rPr>
      </w:pPr>
    </w:p>
    <w:p w14:paraId="7B95EB9D" w14:textId="77777777" w:rsidR="000F3E6D" w:rsidRPr="00025436" w:rsidRDefault="000F3E6D" w:rsidP="000F3E6D">
      <w:pPr>
        <w:spacing w:after="120" w:line="264" w:lineRule="auto"/>
        <w:rPr>
          <w:rFonts w:ascii="Calibri" w:eastAsiaTheme="minorHAnsi" w:hAnsi="Calibri" w:cs="Calibri"/>
          <w:u w:val="single"/>
        </w:rPr>
      </w:pPr>
    </w:p>
    <w:p w14:paraId="5C051BF5" w14:textId="7FD5B592" w:rsidR="000F3E6D" w:rsidRPr="00025436" w:rsidRDefault="000F3E6D" w:rsidP="000F3E6D">
      <w:pPr>
        <w:spacing w:after="120" w:line="264" w:lineRule="auto"/>
        <w:rPr>
          <w:rFonts w:ascii="Calibri" w:eastAsiaTheme="minorHAnsi" w:hAnsi="Calibri" w:cs="Calibri"/>
          <w:u w:val="single"/>
        </w:rPr>
      </w:pPr>
    </w:p>
    <w:p w14:paraId="7FD6C47D" w14:textId="77777777" w:rsidR="001B3FE2" w:rsidRPr="00025436" w:rsidRDefault="001B3FE2" w:rsidP="00791366">
      <w:pPr>
        <w:spacing w:after="120" w:line="360" w:lineRule="auto"/>
        <w:ind w:left="357" w:hanging="357"/>
        <w:rPr>
          <w:rFonts w:ascii="Calibri" w:eastAsiaTheme="minorHAnsi" w:hAnsi="Calibri" w:cs="Calibri"/>
        </w:rPr>
      </w:pPr>
    </w:p>
    <w:p w14:paraId="63D93362" w14:textId="77777777" w:rsidR="00791366" w:rsidRPr="00025436" w:rsidRDefault="00791366" w:rsidP="00D35685">
      <w:pPr>
        <w:spacing w:after="0" w:line="240" w:lineRule="auto"/>
        <w:jc w:val="both"/>
        <w:rPr>
          <w:rFonts w:ascii="Calibri" w:eastAsia="Times New Roman" w:hAnsi="Calibri" w:cs="Calibri"/>
          <w:b/>
          <w:sz w:val="22"/>
          <w:szCs w:val="22"/>
          <w:lang w:eastAsia="en-GB"/>
        </w:rPr>
      </w:pPr>
    </w:p>
    <w:p w14:paraId="5BE5FFB5" w14:textId="77777777" w:rsidR="00791366" w:rsidRPr="00025436" w:rsidRDefault="00791366" w:rsidP="00D35685">
      <w:pPr>
        <w:spacing w:after="0" w:line="240" w:lineRule="auto"/>
        <w:jc w:val="both"/>
        <w:rPr>
          <w:rFonts w:ascii="Calibri" w:eastAsia="Times New Roman" w:hAnsi="Calibri" w:cs="Calibri"/>
          <w:b/>
          <w:sz w:val="22"/>
          <w:szCs w:val="22"/>
          <w:lang w:eastAsia="en-GB"/>
        </w:rPr>
      </w:pPr>
    </w:p>
    <w:p w14:paraId="1F0C92A8" w14:textId="77777777" w:rsidR="00791366" w:rsidRPr="00025436" w:rsidRDefault="00791366" w:rsidP="009D07E5">
      <w:pPr>
        <w:ind w:left="499" w:hanging="357"/>
        <w:contextualSpacing/>
        <w:jc w:val="both"/>
        <w:rPr>
          <w:rFonts w:ascii="Calibri" w:eastAsia="Times New Roman" w:hAnsi="Calibri" w:cs="Calibri"/>
          <w:b/>
          <w:sz w:val="22"/>
          <w:szCs w:val="22"/>
          <w:lang w:eastAsia="en-GB"/>
        </w:rPr>
      </w:pPr>
    </w:p>
    <w:sectPr w:rsidR="00791366" w:rsidRPr="0002543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06C29" w14:textId="77777777" w:rsidR="007775DF" w:rsidRDefault="007775DF" w:rsidP="00FA00A4">
      <w:pPr>
        <w:spacing w:after="0" w:line="240" w:lineRule="auto"/>
      </w:pPr>
      <w:r>
        <w:separator/>
      </w:r>
    </w:p>
  </w:endnote>
  <w:endnote w:type="continuationSeparator" w:id="0">
    <w:p w14:paraId="7D2D6C45" w14:textId="77777777" w:rsidR="007775DF" w:rsidRDefault="007775DF" w:rsidP="00FA0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069076"/>
      <w:docPartObj>
        <w:docPartGallery w:val="Page Numbers (Bottom of Page)"/>
        <w:docPartUnique/>
      </w:docPartObj>
    </w:sdtPr>
    <w:sdtEndPr>
      <w:rPr>
        <w:noProof/>
      </w:rPr>
    </w:sdtEndPr>
    <w:sdtContent>
      <w:p w14:paraId="0F19B8C0" w14:textId="3EEA6FD1" w:rsidR="00FA00A4" w:rsidRDefault="00FA00A4">
        <w:pPr>
          <w:pStyle w:val="Footer"/>
        </w:pPr>
        <w:r>
          <w:fldChar w:fldCharType="begin"/>
        </w:r>
        <w:r>
          <w:instrText xml:space="preserve"> PAGE   \* MERGEFORMAT </w:instrText>
        </w:r>
        <w:r>
          <w:fldChar w:fldCharType="separate"/>
        </w:r>
        <w:r>
          <w:rPr>
            <w:noProof/>
          </w:rPr>
          <w:t>2</w:t>
        </w:r>
        <w:r>
          <w:rPr>
            <w:noProof/>
          </w:rPr>
          <w:fldChar w:fldCharType="end"/>
        </w:r>
      </w:p>
    </w:sdtContent>
  </w:sdt>
  <w:p w14:paraId="57AFEC95" w14:textId="77777777" w:rsidR="00FA00A4" w:rsidRDefault="00FA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7630" w14:textId="77777777" w:rsidR="007775DF" w:rsidRDefault="007775DF" w:rsidP="00FA00A4">
      <w:pPr>
        <w:spacing w:after="0" w:line="240" w:lineRule="auto"/>
      </w:pPr>
      <w:r>
        <w:separator/>
      </w:r>
    </w:p>
  </w:footnote>
  <w:footnote w:type="continuationSeparator" w:id="0">
    <w:p w14:paraId="0BD8FF92" w14:textId="77777777" w:rsidR="007775DF" w:rsidRDefault="007775DF" w:rsidP="00FA0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20F"/>
    <w:multiLevelType w:val="hybridMultilevel"/>
    <w:tmpl w:val="4024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531B5"/>
    <w:multiLevelType w:val="hybridMultilevel"/>
    <w:tmpl w:val="7700A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113059"/>
    <w:multiLevelType w:val="hybridMultilevel"/>
    <w:tmpl w:val="8664175C"/>
    <w:lvl w:ilvl="0" w:tplc="83E67174">
      <w:start w:val="1"/>
      <w:numFmt w:val="decimal"/>
      <w:lvlText w:val="%1."/>
      <w:lvlJc w:val="left"/>
      <w:pPr>
        <w:ind w:left="502" w:hanging="360"/>
      </w:pPr>
      <w:rPr>
        <w:rFonts w:ascii="Calibri" w:hAnsi="Calibri" w:cs="Calibri" w:hint="default"/>
        <w:b w:val="0"/>
        <w:bCs w:val="0"/>
        <w:color w:val="auto"/>
        <w:sz w:val="20"/>
        <w:szCs w:val="20"/>
      </w:rPr>
    </w:lvl>
    <w:lvl w:ilvl="1" w:tplc="5F00E624">
      <w:start w:val="1"/>
      <w:numFmt w:val="bullet"/>
      <w:lvlText w:val=""/>
      <w:lvlJc w:val="left"/>
      <w:pPr>
        <w:ind w:left="1440" w:hanging="360"/>
      </w:pPr>
      <w:rPr>
        <w:rFonts w:ascii="Symbol" w:hAnsi="Symbol" w:hint="default"/>
        <w:sz w:val="20"/>
        <w:szCs w:val="20"/>
      </w:rPr>
    </w:lvl>
    <w:lvl w:ilvl="2" w:tplc="08090003">
      <w:start w:val="1"/>
      <w:numFmt w:val="bullet"/>
      <w:lvlText w:val="o"/>
      <w:lvlJc w:val="left"/>
      <w:pPr>
        <w:ind w:left="2340" w:hanging="360"/>
      </w:pPr>
      <w:rPr>
        <w:rFonts w:ascii="Courier New" w:hAnsi="Courier New" w:cs="Courier New" w:hint="default"/>
      </w:rPr>
    </w:lvl>
    <w:lvl w:ilvl="3" w:tplc="CC964D96">
      <w:start w:val="1"/>
      <w:numFmt w:val="bullet"/>
      <w:lvlText w:val="o"/>
      <w:lvlJc w:val="left"/>
      <w:pPr>
        <w:ind w:left="2880" w:hanging="360"/>
      </w:pPr>
      <w:rPr>
        <w:rFonts w:ascii="Courier New" w:hAnsi="Courier New" w:cs="Courier New" w:hint="default"/>
        <w:sz w:val="20"/>
        <w:szCs w:val="2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D0101"/>
    <w:multiLevelType w:val="hybridMultilevel"/>
    <w:tmpl w:val="077C8C3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046D78D9"/>
    <w:multiLevelType w:val="hybridMultilevel"/>
    <w:tmpl w:val="7F08B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F34A1D"/>
    <w:multiLevelType w:val="hybridMultilevel"/>
    <w:tmpl w:val="F77C1918"/>
    <w:lvl w:ilvl="0" w:tplc="62C46464">
      <w:start w:val="1"/>
      <w:numFmt w:val="decimal"/>
      <w:lvlText w:val="%1."/>
      <w:lvlJc w:val="left"/>
      <w:pPr>
        <w:ind w:left="36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7B854F"/>
    <w:multiLevelType w:val="hybridMultilevel"/>
    <w:tmpl w:val="FFFFFFFF"/>
    <w:lvl w:ilvl="0" w:tplc="63C63D24">
      <w:start w:val="1"/>
      <w:numFmt w:val="bullet"/>
      <w:lvlText w:val=""/>
      <w:lvlJc w:val="left"/>
      <w:pPr>
        <w:ind w:left="720" w:hanging="360"/>
      </w:pPr>
      <w:rPr>
        <w:rFonts w:ascii="Symbol" w:hAnsi="Symbol" w:hint="default"/>
      </w:rPr>
    </w:lvl>
    <w:lvl w:ilvl="1" w:tplc="F02EBB80">
      <w:start w:val="1"/>
      <w:numFmt w:val="bullet"/>
      <w:lvlText w:val="o"/>
      <w:lvlJc w:val="left"/>
      <w:pPr>
        <w:ind w:left="1440" w:hanging="360"/>
      </w:pPr>
      <w:rPr>
        <w:rFonts w:ascii="Courier New" w:hAnsi="Courier New" w:hint="default"/>
      </w:rPr>
    </w:lvl>
    <w:lvl w:ilvl="2" w:tplc="D1F674A0">
      <w:start w:val="1"/>
      <w:numFmt w:val="bullet"/>
      <w:lvlText w:val=""/>
      <w:lvlJc w:val="left"/>
      <w:pPr>
        <w:ind w:left="2160" w:hanging="360"/>
      </w:pPr>
      <w:rPr>
        <w:rFonts w:ascii="Wingdings" w:hAnsi="Wingdings" w:hint="default"/>
      </w:rPr>
    </w:lvl>
    <w:lvl w:ilvl="3" w:tplc="8DE28DD4">
      <w:start w:val="1"/>
      <w:numFmt w:val="bullet"/>
      <w:lvlText w:val=""/>
      <w:lvlJc w:val="left"/>
      <w:pPr>
        <w:ind w:left="2880" w:hanging="360"/>
      </w:pPr>
      <w:rPr>
        <w:rFonts w:ascii="Symbol" w:hAnsi="Symbol" w:hint="default"/>
      </w:rPr>
    </w:lvl>
    <w:lvl w:ilvl="4" w:tplc="85B60462">
      <w:start w:val="1"/>
      <w:numFmt w:val="bullet"/>
      <w:lvlText w:val="o"/>
      <w:lvlJc w:val="left"/>
      <w:pPr>
        <w:ind w:left="3600" w:hanging="360"/>
      </w:pPr>
      <w:rPr>
        <w:rFonts w:ascii="Courier New" w:hAnsi="Courier New" w:hint="default"/>
      </w:rPr>
    </w:lvl>
    <w:lvl w:ilvl="5" w:tplc="85F23D4A">
      <w:start w:val="1"/>
      <w:numFmt w:val="bullet"/>
      <w:lvlText w:val=""/>
      <w:lvlJc w:val="left"/>
      <w:pPr>
        <w:ind w:left="4320" w:hanging="360"/>
      </w:pPr>
      <w:rPr>
        <w:rFonts w:ascii="Wingdings" w:hAnsi="Wingdings" w:hint="default"/>
      </w:rPr>
    </w:lvl>
    <w:lvl w:ilvl="6" w:tplc="C136F11C">
      <w:start w:val="1"/>
      <w:numFmt w:val="bullet"/>
      <w:lvlText w:val=""/>
      <w:lvlJc w:val="left"/>
      <w:pPr>
        <w:ind w:left="5040" w:hanging="360"/>
      </w:pPr>
      <w:rPr>
        <w:rFonts w:ascii="Symbol" w:hAnsi="Symbol" w:hint="default"/>
      </w:rPr>
    </w:lvl>
    <w:lvl w:ilvl="7" w:tplc="70749684">
      <w:start w:val="1"/>
      <w:numFmt w:val="bullet"/>
      <w:lvlText w:val="o"/>
      <w:lvlJc w:val="left"/>
      <w:pPr>
        <w:ind w:left="5760" w:hanging="360"/>
      </w:pPr>
      <w:rPr>
        <w:rFonts w:ascii="Courier New" w:hAnsi="Courier New" w:hint="default"/>
      </w:rPr>
    </w:lvl>
    <w:lvl w:ilvl="8" w:tplc="EBF60044">
      <w:start w:val="1"/>
      <w:numFmt w:val="bullet"/>
      <w:lvlText w:val=""/>
      <w:lvlJc w:val="left"/>
      <w:pPr>
        <w:ind w:left="6480" w:hanging="360"/>
      </w:pPr>
      <w:rPr>
        <w:rFonts w:ascii="Wingdings" w:hAnsi="Wingdings" w:hint="default"/>
      </w:rPr>
    </w:lvl>
  </w:abstractNum>
  <w:abstractNum w:abstractNumId="7" w15:restartNumberingAfterBreak="0">
    <w:nsid w:val="1F97256E"/>
    <w:multiLevelType w:val="hybridMultilevel"/>
    <w:tmpl w:val="64A22C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E01E3D"/>
    <w:multiLevelType w:val="hybridMultilevel"/>
    <w:tmpl w:val="A67E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F011F"/>
    <w:multiLevelType w:val="hybridMultilevel"/>
    <w:tmpl w:val="31B2EA94"/>
    <w:lvl w:ilvl="0" w:tplc="672A0B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D16AB"/>
    <w:multiLevelType w:val="hybridMultilevel"/>
    <w:tmpl w:val="8CB6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62A1C"/>
    <w:multiLevelType w:val="hybridMultilevel"/>
    <w:tmpl w:val="81C6F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FB20C0"/>
    <w:multiLevelType w:val="hybridMultilevel"/>
    <w:tmpl w:val="2D1C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DD1D95"/>
    <w:multiLevelType w:val="hybridMultilevel"/>
    <w:tmpl w:val="18E09812"/>
    <w:lvl w:ilvl="0" w:tplc="62C46464">
      <w:start w:val="1"/>
      <w:numFmt w:val="decimal"/>
      <w:lvlText w:val="%1."/>
      <w:lvlJc w:val="left"/>
      <w:pPr>
        <w:ind w:left="36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CB5017"/>
    <w:multiLevelType w:val="hybridMultilevel"/>
    <w:tmpl w:val="B0A4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A1D85"/>
    <w:multiLevelType w:val="hybridMultilevel"/>
    <w:tmpl w:val="E196B8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847004"/>
    <w:multiLevelType w:val="hybridMultilevel"/>
    <w:tmpl w:val="16AAE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D6C99E"/>
    <w:multiLevelType w:val="hybridMultilevel"/>
    <w:tmpl w:val="BDBA440E"/>
    <w:lvl w:ilvl="0" w:tplc="2F94AC46">
      <w:start w:val="1"/>
      <w:numFmt w:val="bullet"/>
      <w:pStyle w:val="bulletblock"/>
      <w:lvlText w:val="·"/>
      <w:lvlJc w:val="left"/>
      <w:pPr>
        <w:ind w:left="720" w:hanging="360"/>
      </w:pPr>
      <w:rPr>
        <w:rFonts w:ascii="Symbol" w:hAnsi="Symbol" w:hint="default"/>
      </w:rPr>
    </w:lvl>
    <w:lvl w:ilvl="1" w:tplc="07EAE936">
      <w:start w:val="1"/>
      <w:numFmt w:val="bullet"/>
      <w:lvlText w:val="o"/>
      <w:lvlJc w:val="left"/>
      <w:pPr>
        <w:ind w:left="1440" w:hanging="360"/>
      </w:pPr>
      <w:rPr>
        <w:rFonts w:ascii="Courier New" w:hAnsi="Courier New" w:hint="default"/>
      </w:rPr>
    </w:lvl>
    <w:lvl w:ilvl="2" w:tplc="40661354">
      <w:start w:val="1"/>
      <w:numFmt w:val="bullet"/>
      <w:lvlText w:val=""/>
      <w:lvlJc w:val="left"/>
      <w:pPr>
        <w:ind w:left="2160" w:hanging="360"/>
      </w:pPr>
      <w:rPr>
        <w:rFonts w:ascii="Wingdings" w:hAnsi="Wingdings" w:hint="default"/>
      </w:rPr>
    </w:lvl>
    <w:lvl w:ilvl="3" w:tplc="EEF28220">
      <w:start w:val="1"/>
      <w:numFmt w:val="bullet"/>
      <w:lvlText w:val=""/>
      <w:lvlJc w:val="left"/>
      <w:pPr>
        <w:ind w:left="2880" w:hanging="360"/>
      </w:pPr>
      <w:rPr>
        <w:rFonts w:ascii="Symbol" w:hAnsi="Symbol" w:hint="default"/>
      </w:rPr>
    </w:lvl>
    <w:lvl w:ilvl="4" w:tplc="9B0CAA04">
      <w:start w:val="1"/>
      <w:numFmt w:val="bullet"/>
      <w:lvlText w:val="o"/>
      <w:lvlJc w:val="left"/>
      <w:pPr>
        <w:ind w:left="3600" w:hanging="360"/>
      </w:pPr>
      <w:rPr>
        <w:rFonts w:ascii="Courier New" w:hAnsi="Courier New" w:hint="default"/>
      </w:rPr>
    </w:lvl>
    <w:lvl w:ilvl="5" w:tplc="04C6685E">
      <w:start w:val="1"/>
      <w:numFmt w:val="bullet"/>
      <w:lvlText w:val=""/>
      <w:lvlJc w:val="left"/>
      <w:pPr>
        <w:ind w:left="4320" w:hanging="360"/>
      </w:pPr>
      <w:rPr>
        <w:rFonts w:ascii="Wingdings" w:hAnsi="Wingdings" w:hint="default"/>
      </w:rPr>
    </w:lvl>
    <w:lvl w:ilvl="6" w:tplc="4B9868F4">
      <w:start w:val="1"/>
      <w:numFmt w:val="bullet"/>
      <w:lvlText w:val=""/>
      <w:lvlJc w:val="left"/>
      <w:pPr>
        <w:ind w:left="5040" w:hanging="360"/>
      </w:pPr>
      <w:rPr>
        <w:rFonts w:ascii="Symbol" w:hAnsi="Symbol" w:hint="default"/>
      </w:rPr>
    </w:lvl>
    <w:lvl w:ilvl="7" w:tplc="DB4817CA">
      <w:start w:val="1"/>
      <w:numFmt w:val="bullet"/>
      <w:lvlText w:val="o"/>
      <w:lvlJc w:val="left"/>
      <w:pPr>
        <w:ind w:left="5760" w:hanging="360"/>
      </w:pPr>
      <w:rPr>
        <w:rFonts w:ascii="Courier New" w:hAnsi="Courier New" w:hint="default"/>
      </w:rPr>
    </w:lvl>
    <w:lvl w:ilvl="8" w:tplc="2A22B5D4">
      <w:start w:val="1"/>
      <w:numFmt w:val="bullet"/>
      <w:lvlText w:val=""/>
      <w:lvlJc w:val="left"/>
      <w:pPr>
        <w:ind w:left="6480" w:hanging="360"/>
      </w:pPr>
      <w:rPr>
        <w:rFonts w:ascii="Wingdings" w:hAnsi="Wingdings" w:hint="default"/>
      </w:rPr>
    </w:lvl>
  </w:abstractNum>
  <w:abstractNum w:abstractNumId="18" w15:restartNumberingAfterBreak="0">
    <w:nsid w:val="5B297AFC"/>
    <w:multiLevelType w:val="hybridMultilevel"/>
    <w:tmpl w:val="D1E4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8647D6"/>
    <w:multiLevelType w:val="hybridMultilevel"/>
    <w:tmpl w:val="438CA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5232E2A"/>
    <w:multiLevelType w:val="hybridMultilevel"/>
    <w:tmpl w:val="71368A4A"/>
    <w:lvl w:ilvl="0" w:tplc="62C46464">
      <w:start w:val="1"/>
      <w:numFmt w:val="decimal"/>
      <w:lvlText w:val="%1."/>
      <w:lvlJc w:val="left"/>
      <w:pPr>
        <w:ind w:left="36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972978"/>
    <w:multiLevelType w:val="hybridMultilevel"/>
    <w:tmpl w:val="BC0ED48A"/>
    <w:lvl w:ilvl="0" w:tplc="FFFFFFFF">
      <w:start w:val="1"/>
      <w:numFmt w:val="decimal"/>
      <w:lvlText w:val="%1."/>
      <w:lvlJc w:val="left"/>
      <w:pPr>
        <w:ind w:left="502" w:hanging="360"/>
      </w:pPr>
      <w:rPr>
        <w:rFonts w:ascii="Calibri" w:hAnsi="Calibri" w:cs="Calibri" w:hint="default"/>
        <w:b w:val="0"/>
        <w:bCs w:val="0"/>
        <w:sz w:val="20"/>
        <w:szCs w:val="20"/>
      </w:rPr>
    </w:lvl>
    <w:lvl w:ilvl="1" w:tplc="FFFFFFFF">
      <w:start w:val="1"/>
      <w:numFmt w:val="bullet"/>
      <w:lvlText w:val=""/>
      <w:lvlJc w:val="left"/>
      <w:pPr>
        <w:ind w:left="1440" w:hanging="360"/>
      </w:pPr>
      <w:rPr>
        <w:rFonts w:ascii="Symbol" w:hAnsi="Symbol" w:hint="default"/>
        <w:sz w:val="20"/>
        <w:szCs w:val="20"/>
      </w:rPr>
    </w:lvl>
    <w:lvl w:ilvl="2" w:tplc="FFFFFFFF">
      <w:start w:val="1"/>
      <w:numFmt w:val="bullet"/>
      <w:lvlText w:val="o"/>
      <w:lvlJc w:val="left"/>
      <w:pPr>
        <w:ind w:left="2340" w:hanging="360"/>
      </w:pPr>
      <w:rPr>
        <w:rFonts w:ascii="Courier New" w:hAnsi="Courier New" w:cs="Courier New" w:hint="default"/>
      </w:rPr>
    </w:lvl>
    <w:lvl w:ilvl="3" w:tplc="FFFFFFFF">
      <w:start w:val="1"/>
      <w:numFmt w:val="bullet"/>
      <w:lvlText w:val="o"/>
      <w:lvlJc w:val="left"/>
      <w:pPr>
        <w:ind w:left="2880" w:hanging="360"/>
      </w:pPr>
      <w:rPr>
        <w:rFonts w:ascii="Courier New" w:hAnsi="Courier New" w:cs="Courier New" w:hint="default"/>
        <w:sz w:val="20"/>
        <w:szCs w:val="2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046AFC"/>
    <w:multiLevelType w:val="hybridMultilevel"/>
    <w:tmpl w:val="BDAA9544"/>
    <w:lvl w:ilvl="0" w:tplc="FFFFFFFF">
      <w:start w:val="1"/>
      <w:numFmt w:val="decimal"/>
      <w:lvlText w:val="%1."/>
      <w:lvlJc w:val="left"/>
      <w:pPr>
        <w:ind w:left="502" w:hanging="360"/>
      </w:pPr>
      <w:rPr>
        <w:rFonts w:hint="default"/>
        <w:b w:val="0"/>
        <w:bCs w:val="0"/>
        <w:sz w:val="20"/>
        <w:szCs w:val="2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9055F6"/>
    <w:multiLevelType w:val="hybridMultilevel"/>
    <w:tmpl w:val="BDAA9544"/>
    <w:lvl w:ilvl="0" w:tplc="FFFFFFFF">
      <w:start w:val="1"/>
      <w:numFmt w:val="decimal"/>
      <w:lvlText w:val="%1."/>
      <w:lvlJc w:val="left"/>
      <w:pPr>
        <w:ind w:left="502" w:hanging="360"/>
      </w:pPr>
      <w:rPr>
        <w:rFonts w:hint="default"/>
        <w:b w:val="0"/>
        <w:bCs w:val="0"/>
        <w:sz w:val="20"/>
        <w:szCs w:val="2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2071846">
    <w:abstractNumId w:val="8"/>
  </w:num>
  <w:num w:numId="2" w16cid:durableId="1808469357">
    <w:abstractNumId w:val="19"/>
  </w:num>
  <w:num w:numId="3" w16cid:durableId="1384409224">
    <w:abstractNumId w:val="18"/>
  </w:num>
  <w:num w:numId="4" w16cid:durableId="1429228742">
    <w:abstractNumId w:val="3"/>
  </w:num>
  <w:num w:numId="5" w16cid:durableId="1056508526">
    <w:abstractNumId w:val="4"/>
  </w:num>
  <w:num w:numId="6" w16cid:durableId="897663992">
    <w:abstractNumId w:val="16"/>
  </w:num>
  <w:num w:numId="7" w16cid:durableId="1710371639">
    <w:abstractNumId w:val="13"/>
  </w:num>
  <w:num w:numId="8" w16cid:durableId="673384973">
    <w:abstractNumId w:val="15"/>
  </w:num>
  <w:num w:numId="9" w16cid:durableId="1147087792">
    <w:abstractNumId w:val="11"/>
  </w:num>
  <w:num w:numId="10" w16cid:durableId="573667426">
    <w:abstractNumId w:val="7"/>
  </w:num>
  <w:num w:numId="11" w16cid:durableId="1959140878">
    <w:abstractNumId w:val="14"/>
  </w:num>
  <w:num w:numId="12" w16cid:durableId="734201793">
    <w:abstractNumId w:val="10"/>
  </w:num>
  <w:num w:numId="13" w16cid:durableId="297759956">
    <w:abstractNumId w:val="12"/>
  </w:num>
  <w:num w:numId="14" w16cid:durableId="710345861">
    <w:abstractNumId w:val="0"/>
  </w:num>
  <w:num w:numId="15" w16cid:durableId="27686732">
    <w:abstractNumId w:val="20"/>
  </w:num>
  <w:num w:numId="16" w16cid:durableId="508568127">
    <w:abstractNumId w:val="2"/>
  </w:num>
  <w:num w:numId="17" w16cid:durableId="551044611">
    <w:abstractNumId w:val="9"/>
  </w:num>
  <w:num w:numId="18" w16cid:durableId="2119597070">
    <w:abstractNumId w:val="5"/>
  </w:num>
  <w:num w:numId="19" w16cid:durableId="162938486">
    <w:abstractNumId w:val="22"/>
  </w:num>
  <w:num w:numId="20" w16cid:durableId="313602732">
    <w:abstractNumId w:val="23"/>
  </w:num>
  <w:num w:numId="21" w16cid:durableId="767387466">
    <w:abstractNumId w:val="17"/>
  </w:num>
  <w:num w:numId="22" w16cid:durableId="1935164386">
    <w:abstractNumId w:val="6"/>
  </w:num>
  <w:num w:numId="23" w16cid:durableId="365062806">
    <w:abstractNumId w:val="21"/>
  </w:num>
  <w:num w:numId="24" w16cid:durableId="1541477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85"/>
    <w:rsid w:val="0000269D"/>
    <w:rsid w:val="000062CB"/>
    <w:rsid w:val="000210FE"/>
    <w:rsid w:val="00024080"/>
    <w:rsid w:val="000241CB"/>
    <w:rsid w:val="00025436"/>
    <w:rsid w:val="00044316"/>
    <w:rsid w:val="00055C7E"/>
    <w:rsid w:val="00073664"/>
    <w:rsid w:val="000765FE"/>
    <w:rsid w:val="00092997"/>
    <w:rsid w:val="00096411"/>
    <w:rsid w:val="000B73FE"/>
    <w:rsid w:val="000B7C29"/>
    <w:rsid w:val="000F3E6D"/>
    <w:rsid w:val="001136E7"/>
    <w:rsid w:val="00126390"/>
    <w:rsid w:val="00137F9B"/>
    <w:rsid w:val="00144701"/>
    <w:rsid w:val="001604B9"/>
    <w:rsid w:val="0016501C"/>
    <w:rsid w:val="00197675"/>
    <w:rsid w:val="001A3F05"/>
    <w:rsid w:val="001B3FE2"/>
    <w:rsid w:val="00212991"/>
    <w:rsid w:val="0022020E"/>
    <w:rsid w:val="002838DB"/>
    <w:rsid w:val="00297EA9"/>
    <w:rsid w:val="002A36A0"/>
    <w:rsid w:val="002E0BCE"/>
    <w:rsid w:val="002F0131"/>
    <w:rsid w:val="00303CD5"/>
    <w:rsid w:val="00305C34"/>
    <w:rsid w:val="00312B05"/>
    <w:rsid w:val="00314CF4"/>
    <w:rsid w:val="00344992"/>
    <w:rsid w:val="00362F36"/>
    <w:rsid w:val="0039356A"/>
    <w:rsid w:val="00396CFF"/>
    <w:rsid w:val="003A64D9"/>
    <w:rsid w:val="003B7231"/>
    <w:rsid w:val="003C46A5"/>
    <w:rsid w:val="003D2A29"/>
    <w:rsid w:val="00411E75"/>
    <w:rsid w:val="00423F8B"/>
    <w:rsid w:val="00435B87"/>
    <w:rsid w:val="0044610A"/>
    <w:rsid w:val="004755C3"/>
    <w:rsid w:val="00475CDE"/>
    <w:rsid w:val="0049794B"/>
    <w:rsid w:val="004A3AEC"/>
    <w:rsid w:val="004B7B4F"/>
    <w:rsid w:val="004F2FD3"/>
    <w:rsid w:val="004F6317"/>
    <w:rsid w:val="005040B1"/>
    <w:rsid w:val="00544B44"/>
    <w:rsid w:val="00546403"/>
    <w:rsid w:val="005538BF"/>
    <w:rsid w:val="00567132"/>
    <w:rsid w:val="00576EDD"/>
    <w:rsid w:val="00592CC6"/>
    <w:rsid w:val="00595913"/>
    <w:rsid w:val="005A6FAF"/>
    <w:rsid w:val="005B453A"/>
    <w:rsid w:val="005B7043"/>
    <w:rsid w:val="005E5A4E"/>
    <w:rsid w:val="005F0CD8"/>
    <w:rsid w:val="005F533C"/>
    <w:rsid w:val="00601D26"/>
    <w:rsid w:val="0061467D"/>
    <w:rsid w:val="00626B28"/>
    <w:rsid w:val="00650EC3"/>
    <w:rsid w:val="006522B0"/>
    <w:rsid w:val="00657740"/>
    <w:rsid w:val="00661F8E"/>
    <w:rsid w:val="006673B8"/>
    <w:rsid w:val="00674EBE"/>
    <w:rsid w:val="00693E43"/>
    <w:rsid w:val="00697D53"/>
    <w:rsid w:val="006B004B"/>
    <w:rsid w:val="006C39FD"/>
    <w:rsid w:val="006F7521"/>
    <w:rsid w:val="007006DF"/>
    <w:rsid w:val="007230C0"/>
    <w:rsid w:val="00724BFA"/>
    <w:rsid w:val="007278CC"/>
    <w:rsid w:val="00737FBD"/>
    <w:rsid w:val="007617E9"/>
    <w:rsid w:val="00775901"/>
    <w:rsid w:val="007775DF"/>
    <w:rsid w:val="007812E1"/>
    <w:rsid w:val="00791366"/>
    <w:rsid w:val="007C1BEA"/>
    <w:rsid w:val="007E66E0"/>
    <w:rsid w:val="00825512"/>
    <w:rsid w:val="008279FD"/>
    <w:rsid w:val="00847028"/>
    <w:rsid w:val="008537D5"/>
    <w:rsid w:val="008608AF"/>
    <w:rsid w:val="008A00AB"/>
    <w:rsid w:val="008B05B4"/>
    <w:rsid w:val="008B7FAA"/>
    <w:rsid w:val="008D1D3B"/>
    <w:rsid w:val="008D5626"/>
    <w:rsid w:val="00903DFC"/>
    <w:rsid w:val="0091294D"/>
    <w:rsid w:val="009311C6"/>
    <w:rsid w:val="00952A64"/>
    <w:rsid w:val="00973072"/>
    <w:rsid w:val="0098570F"/>
    <w:rsid w:val="009A76A5"/>
    <w:rsid w:val="009B39A4"/>
    <w:rsid w:val="009B4E11"/>
    <w:rsid w:val="009D07E5"/>
    <w:rsid w:val="009D334F"/>
    <w:rsid w:val="009D4437"/>
    <w:rsid w:val="009D5122"/>
    <w:rsid w:val="009F0E5B"/>
    <w:rsid w:val="00A04648"/>
    <w:rsid w:val="00A11AC8"/>
    <w:rsid w:val="00A24B62"/>
    <w:rsid w:val="00A768CD"/>
    <w:rsid w:val="00A8272B"/>
    <w:rsid w:val="00A83BDC"/>
    <w:rsid w:val="00A9010B"/>
    <w:rsid w:val="00A92AF9"/>
    <w:rsid w:val="00A94EA0"/>
    <w:rsid w:val="00A978FA"/>
    <w:rsid w:val="00AB46E4"/>
    <w:rsid w:val="00AB4A2B"/>
    <w:rsid w:val="00AB5D2B"/>
    <w:rsid w:val="00AC1817"/>
    <w:rsid w:val="00AD48EA"/>
    <w:rsid w:val="00AE06EA"/>
    <w:rsid w:val="00B1031B"/>
    <w:rsid w:val="00B333A6"/>
    <w:rsid w:val="00B333C0"/>
    <w:rsid w:val="00B4490C"/>
    <w:rsid w:val="00B45645"/>
    <w:rsid w:val="00B52CD5"/>
    <w:rsid w:val="00B64BF2"/>
    <w:rsid w:val="00B77318"/>
    <w:rsid w:val="00BF1D83"/>
    <w:rsid w:val="00BF714B"/>
    <w:rsid w:val="00C0471B"/>
    <w:rsid w:val="00C07439"/>
    <w:rsid w:val="00C30009"/>
    <w:rsid w:val="00C51E5C"/>
    <w:rsid w:val="00C607BC"/>
    <w:rsid w:val="00C65728"/>
    <w:rsid w:val="00C826F3"/>
    <w:rsid w:val="00CA7136"/>
    <w:rsid w:val="00CB6EEB"/>
    <w:rsid w:val="00CC719E"/>
    <w:rsid w:val="00CE2E89"/>
    <w:rsid w:val="00CE365B"/>
    <w:rsid w:val="00D22002"/>
    <w:rsid w:val="00D311D2"/>
    <w:rsid w:val="00D35685"/>
    <w:rsid w:val="00D40A5C"/>
    <w:rsid w:val="00D63346"/>
    <w:rsid w:val="00D66497"/>
    <w:rsid w:val="00D72A25"/>
    <w:rsid w:val="00D77E80"/>
    <w:rsid w:val="00D97BE9"/>
    <w:rsid w:val="00DA288F"/>
    <w:rsid w:val="00DA2B6F"/>
    <w:rsid w:val="00DB1D40"/>
    <w:rsid w:val="00DD39C3"/>
    <w:rsid w:val="00DF57D3"/>
    <w:rsid w:val="00DF7972"/>
    <w:rsid w:val="00E121D6"/>
    <w:rsid w:val="00E2316C"/>
    <w:rsid w:val="00E50482"/>
    <w:rsid w:val="00E652CC"/>
    <w:rsid w:val="00E74C2C"/>
    <w:rsid w:val="00E81653"/>
    <w:rsid w:val="00E94096"/>
    <w:rsid w:val="00EA1953"/>
    <w:rsid w:val="00EA2F46"/>
    <w:rsid w:val="00EB579B"/>
    <w:rsid w:val="00ED344F"/>
    <w:rsid w:val="00EE7CA6"/>
    <w:rsid w:val="00EF0A1B"/>
    <w:rsid w:val="00EF5626"/>
    <w:rsid w:val="00F01EFF"/>
    <w:rsid w:val="00F01FAC"/>
    <w:rsid w:val="00F23960"/>
    <w:rsid w:val="00F36A06"/>
    <w:rsid w:val="00F4482A"/>
    <w:rsid w:val="00F5237F"/>
    <w:rsid w:val="00F93B72"/>
    <w:rsid w:val="00FA00A4"/>
    <w:rsid w:val="00FB3C0C"/>
    <w:rsid w:val="00FB6882"/>
    <w:rsid w:val="00FB7000"/>
    <w:rsid w:val="00FC3815"/>
    <w:rsid w:val="00FD37D9"/>
    <w:rsid w:val="00FF3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85BB63E"/>
  <w15:docId w15:val="{6DDFFDF0-BF2C-4C61-A3AA-A01396FC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080"/>
  </w:style>
  <w:style w:type="paragraph" w:styleId="Heading1">
    <w:name w:val="heading 1"/>
    <w:basedOn w:val="Normal"/>
    <w:next w:val="Normal"/>
    <w:link w:val="Heading1Char"/>
    <w:uiPriority w:val="9"/>
    <w:qFormat/>
    <w:rsid w:val="0002408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2408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024080"/>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024080"/>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024080"/>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24080"/>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24080"/>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2408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2408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080"/>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024080"/>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024080"/>
    <w:rPr>
      <w:caps/>
      <w:color w:val="1F3763" w:themeColor="accent1" w:themeShade="7F"/>
      <w:spacing w:val="15"/>
    </w:rPr>
  </w:style>
  <w:style w:type="character" w:customStyle="1" w:styleId="Heading4Char">
    <w:name w:val="Heading 4 Char"/>
    <w:basedOn w:val="DefaultParagraphFont"/>
    <w:link w:val="Heading4"/>
    <w:uiPriority w:val="9"/>
    <w:semiHidden/>
    <w:rsid w:val="00024080"/>
    <w:rPr>
      <w:caps/>
      <w:color w:val="2F5496" w:themeColor="accent1" w:themeShade="BF"/>
      <w:spacing w:val="10"/>
    </w:rPr>
  </w:style>
  <w:style w:type="character" w:customStyle="1" w:styleId="Heading5Char">
    <w:name w:val="Heading 5 Char"/>
    <w:basedOn w:val="DefaultParagraphFont"/>
    <w:link w:val="Heading5"/>
    <w:uiPriority w:val="9"/>
    <w:semiHidden/>
    <w:rsid w:val="00024080"/>
    <w:rPr>
      <w:caps/>
      <w:color w:val="2F5496" w:themeColor="accent1" w:themeShade="BF"/>
      <w:spacing w:val="10"/>
    </w:rPr>
  </w:style>
  <w:style w:type="character" w:customStyle="1" w:styleId="Heading6Char">
    <w:name w:val="Heading 6 Char"/>
    <w:basedOn w:val="DefaultParagraphFont"/>
    <w:link w:val="Heading6"/>
    <w:uiPriority w:val="9"/>
    <w:semiHidden/>
    <w:rsid w:val="00024080"/>
    <w:rPr>
      <w:caps/>
      <w:color w:val="2F5496" w:themeColor="accent1" w:themeShade="BF"/>
      <w:spacing w:val="10"/>
    </w:rPr>
  </w:style>
  <w:style w:type="character" w:customStyle="1" w:styleId="Heading7Char">
    <w:name w:val="Heading 7 Char"/>
    <w:basedOn w:val="DefaultParagraphFont"/>
    <w:link w:val="Heading7"/>
    <w:uiPriority w:val="9"/>
    <w:semiHidden/>
    <w:rsid w:val="00024080"/>
    <w:rPr>
      <w:caps/>
      <w:color w:val="2F5496" w:themeColor="accent1" w:themeShade="BF"/>
      <w:spacing w:val="10"/>
    </w:rPr>
  </w:style>
  <w:style w:type="character" w:customStyle="1" w:styleId="Heading8Char">
    <w:name w:val="Heading 8 Char"/>
    <w:basedOn w:val="DefaultParagraphFont"/>
    <w:link w:val="Heading8"/>
    <w:uiPriority w:val="9"/>
    <w:semiHidden/>
    <w:rsid w:val="00024080"/>
    <w:rPr>
      <w:caps/>
      <w:spacing w:val="10"/>
      <w:sz w:val="18"/>
      <w:szCs w:val="18"/>
    </w:rPr>
  </w:style>
  <w:style w:type="character" w:customStyle="1" w:styleId="Heading9Char">
    <w:name w:val="Heading 9 Char"/>
    <w:basedOn w:val="DefaultParagraphFont"/>
    <w:link w:val="Heading9"/>
    <w:uiPriority w:val="9"/>
    <w:semiHidden/>
    <w:rsid w:val="00024080"/>
    <w:rPr>
      <w:i/>
      <w:iCs/>
      <w:caps/>
      <w:spacing w:val="10"/>
      <w:sz w:val="18"/>
      <w:szCs w:val="18"/>
    </w:rPr>
  </w:style>
  <w:style w:type="paragraph" w:styleId="Caption">
    <w:name w:val="caption"/>
    <w:basedOn w:val="Normal"/>
    <w:next w:val="Normal"/>
    <w:uiPriority w:val="35"/>
    <w:semiHidden/>
    <w:unhideWhenUsed/>
    <w:qFormat/>
    <w:rsid w:val="00024080"/>
    <w:rPr>
      <w:b/>
      <w:bCs/>
      <w:color w:val="2F5496" w:themeColor="accent1" w:themeShade="BF"/>
      <w:sz w:val="16"/>
      <w:szCs w:val="16"/>
    </w:rPr>
  </w:style>
  <w:style w:type="paragraph" w:styleId="Title">
    <w:name w:val="Title"/>
    <w:basedOn w:val="Normal"/>
    <w:next w:val="Normal"/>
    <w:link w:val="TitleChar"/>
    <w:uiPriority w:val="10"/>
    <w:qFormat/>
    <w:rsid w:val="00024080"/>
    <w:pPr>
      <w:spacing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24080"/>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024080"/>
    <w:pPr>
      <w:spacing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24080"/>
    <w:rPr>
      <w:caps/>
      <w:color w:val="595959" w:themeColor="text1" w:themeTint="A6"/>
      <w:spacing w:val="10"/>
      <w:sz w:val="21"/>
      <w:szCs w:val="21"/>
    </w:rPr>
  </w:style>
  <w:style w:type="character" w:styleId="Strong">
    <w:name w:val="Strong"/>
    <w:uiPriority w:val="22"/>
    <w:qFormat/>
    <w:rsid w:val="00024080"/>
    <w:rPr>
      <w:b/>
      <w:bCs/>
    </w:rPr>
  </w:style>
  <w:style w:type="character" w:styleId="Emphasis">
    <w:name w:val="Emphasis"/>
    <w:uiPriority w:val="20"/>
    <w:qFormat/>
    <w:rsid w:val="00024080"/>
    <w:rPr>
      <w:caps/>
      <w:color w:val="1F3763" w:themeColor="accent1" w:themeShade="7F"/>
      <w:spacing w:val="5"/>
    </w:rPr>
  </w:style>
  <w:style w:type="paragraph" w:styleId="NoSpacing">
    <w:name w:val="No Spacing"/>
    <w:uiPriority w:val="1"/>
    <w:qFormat/>
    <w:rsid w:val="00024080"/>
    <w:pPr>
      <w:spacing w:after="0" w:line="240" w:lineRule="auto"/>
    </w:pPr>
  </w:style>
  <w:style w:type="paragraph" w:styleId="Quote">
    <w:name w:val="Quote"/>
    <w:basedOn w:val="Normal"/>
    <w:next w:val="Normal"/>
    <w:link w:val="QuoteChar"/>
    <w:uiPriority w:val="29"/>
    <w:qFormat/>
    <w:rsid w:val="00024080"/>
    <w:rPr>
      <w:i/>
      <w:iCs/>
      <w:sz w:val="24"/>
      <w:szCs w:val="24"/>
    </w:rPr>
  </w:style>
  <w:style w:type="character" w:customStyle="1" w:styleId="QuoteChar">
    <w:name w:val="Quote Char"/>
    <w:basedOn w:val="DefaultParagraphFont"/>
    <w:link w:val="Quote"/>
    <w:uiPriority w:val="29"/>
    <w:rsid w:val="00024080"/>
    <w:rPr>
      <w:i/>
      <w:iCs/>
      <w:sz w:val="24"/>
      <w:szCs w:val="24"/>
    </w:rPr>
  </w:style>
  <w:style w:type="paragraph" w:styleId="IntenseQuote">
    <w:name w:val="Intense Quote"/>
    <w:basedOn w:val="Normal"/>
    <w:next w:val="Normal"/>
    <w:link w:val="IntenseQuoteChar"/>
    <w:uiPriority w:val="30"/>
    <w:qFormat/>
    <w:rsid w:val="00024080"/>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24080"/>
    <w:rPr>
      <w:color w:val="4472C4" w:themeColor="accent1"/>
      <w:sz w:val="24"/>
      <w:szCs w:val="24"/>
    </w:rPr>
  </w:style>
  <w:style w:type="character" w:styleId="SubtleEmphasis">
    <w:name w:val="Subtle Emphasis"/>
    <w:uiPriority w:val="19"/>
    <w:qFormat/>
    <w:rsid w:val="00024080"/>
    <w:rPr>
      <w:i/>
      <w:iCs/>
      <w:color w:val="1F3763" w:themeColor="accent1" w:themeShade="7F"/>
    </w:rPr>
  </w:style>
  <w:style w:type="character" w:styleId="IntenseEmphasis">
    <w:name w:val="Intense Emphasis"/>
    <w:uiPriority w:val="21"/>
    <w:qFormat/>
    <w:rsid w:val="00024080"/>
    <w:rPr>
      <w:b/>
      <w:bCs/>
      <w:caps/>
      <w:color w:val="1F3763" w:themeColor="accent1" w:themeShade="7F"/>
      <w:spacing w:val="10"/>
    </w:rPr>
  </w:style>
  <w:style w:type="character" w:styleId="SubtleReference">
    <w:name w:val="Subtle Reference"/>
    <w:uiPriority w:val="31"/>
    <w:qFormat/>
    <w:rsid w:val="00024080"/>
    <w:rPr>
      <w:b/>
      <w:bCs/>
      <w:color w:val="4472C4" w:themeColor="accent1"/>
    </w:rPr>
  </w:style>
  <w:style w:type="character" w:styleId="IntenseReference">
    <w:name w:val="Intense Reference"/>
    <w:uiPriority w:val="32"/>
    <w:qFormat/>
    <w:rsid w:val="00024080"/>
    <w:rPr>
      <w:b/>
      <w:bCs/>
      <w:i/>
      <w:iCs/>
      <w:caps/>
      <w:color w:val="4472C4" w:themeColor="accent1"/>
    </w:rPr>
  </w:style>
  <w:style w:type="character" w:styleId="BookTitle">
    <w:name w:val="Book Title"/>
    <w:uiPriority w:val="33"/>
    <w:qFormat/>
    <w:rsid w:val="00024080"/>
    <w:rPr>
      <w:b/>
      <w:bCs/>
      <w:i/>
      <w:iCs/>
      <w:spacing w:val="0"/>
    </w:rPr>
  </w:style>
  <w:style w:type="paragraph" w:styleId="TOCHeading">
    <w:name w:val="TOC Heading"/>
    <w:basedOn w:val="Heading1"/>
    <w:next w:val="Normal"/>
    <w:uiPriority w:val="39"/>
    <w:semiHidden/>
    <w:unhideWhenUsed/>
    <w:qFormat/>
    <w:rsid w:val="00024080"/>
    <w:pPr>
      <w:outlineLvl w:val="9"/>
    </w:pPr>
  </w:style>
  <w:style w:type="table" w:styleId="TableGrid">
    <w:name w:val="Table Grid"/>
    <w:basedOn w:val="TableNormal"/>
    <w:rsid w:val="00D35685"/>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0A4"/>
  </w:style>
  <w:style w:type="paragraph" w:styleId="Footer">
    <w:name w:val="footer"/>
    <w:basedOn w:val="Normal"/>
    <w:link w:val="FooterChar"/>
    <w:uiPriority w:val="99"/>
    <w:unhideWhenUsed/>
    <w:rsid w:val="00FA0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0A4"/>
  </w:style>
  <w:style w:type="character" w:styleId="Hyperlink">
    <w:name w:val="Hyperlink"/>
    <w:basedOn w:val="DefaultParagraphFont"/>
    <w:uiPriority w:val="99"/>
    <w:unhideWhenUsed/>
    <w:rsid w:val="00F5237F"/>
    <w:rPr>
      <w:color w:val="0563C1" w:themeColor="hyperlink"/>
      <w:u w:val="single"/>
    </w:rPr>
  </w:style>
  <w:style w:type="character" w:styleId="UnresolvedMention">
    <w:name w:val="Unresolved Mention"/>
    <w:basedOn w:val="DefaultParagraphFont"/>
    <w:uiPriority w:val="99"/>
    <w:semiHidden/>
    <w:unhideWhenUsed/>
    <w:rsid w:val="00F5237F"/>
    <w:rPr>
      <w:color w:val="605E5C"/>
      <w:shd w:val="clear" w:color="auto" w:fill="E1DFDD"/>
    </w:rPr>
  </w:style>
  <w:style w:type="paragraph" w:styleId="ListParagraph">
    <w:name w:val="List Paragraph"/>
    <w:basedOn w:val="Normal"/>
    <w:uiPriority w:val="34"/>
    <w:qFormat/>
    <w:rsid w:val="00592CC6"/>
    <w:pPr>
      <w:ind w:left="720"/>
      <w:contextualSpacing/>
    </w:pPr>
  </w:style>
  <w:style w:type="character" w:styleId="CommentReference">
    <w:name w:val="annotation reference"/>
    <w:basedOn w:val="DefaultParagraphFont"/>
    <w:uiPriority w:val="99"/>
    <w:semiHidden/>
    <w:unhideWhenUsed/>
    <w:rsid w:val="00F01EFF"/>
    <w:rPr>
      <w:sz w:val="16"/>
      <w:szCs w:val="16"/>
    </w:rPr>
  </w:style>
  <w:style w:type="paragraph" w:styleId="CommentText">
    <w:name w:val="annotation text"/>
    <w:basedOn w:val="Normal"/>
    <w:link w:val="CommentTextChar"/>
    <w:uiPriority w:val="99"/>
    <w:unhideWhenUsed/>
    <w:rsid w:val="00F01EFF"/>
    <w:pPr>
      <w:spacing w:line="240" w:lineRule="auto"/>
    </w:pPr>
  </w:style>
  <w:style w:type="character" w:customStyle="1" w:styleId="CommentTextChar">
    <w:name w:val="Comment Text Char"/>
    <w:basedOn w:val="DefaultParagraphFont"/>
    <w:link w:val="CommentText"/>
    <w:uiPriority w:val="99"/>
    <w:rsid w:val="00F01EFF"/>
  </w:style>
  <w:style w:type="paragraph" w:styleId="CommentSubject">
    <w:name w:val="annotation subject"/>
    <w:basedOn w:val="CommentText"/>
    <w:next w:val="CommentText"/>
    <w:link w:val="CommentSubjectChar"/>
    <w:uiPriority w:val="99"/>
    <w:semiHidden/>
    <w:unhideWhenUsed/>
    <w:rsid w:val="00F01EFF"/>
    <w:rPr>
      <w:b/>
      <w:bCs/>
    </w:rPr>
  </w:style>
  <w:style w:type="character" w:customStyle="1" w:styleId="CommentSubjectChar">
    <w:name w:val="Comment Subject Char"/>
    <w:basedOn w:val="CommentTextChar"/>
    <w:link w:val="CommentSubject"/>
    <w:uiPriority w:val="99"/>
    <w:semiHidden/>
    <w:rsid w:val="00F01EFF"/>
    <w:rPr>
      <w:b/>
      <w:bCs/>
    </w:rPr>
  </w:style>
  <w:style w:type="paragraph" w:customStyle="1" w:styleId="pf0">
    <w:name w:val="pf0"/>
    <w:basedOn w:val="Normal"/>
    <w:rsid w:val="00AB4A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B4A2B"/>
    <w:rPr>
      <w:rFonts w:ascii="Segoe UI" w:hAnsi="Segoe UI" w:cs="Segoe UI" w:hint="default"/>
      <w:sz w:val="18"/>
      <w:szCs w:val="18"/>
    </w:rPr>
  </w:style>
  <w:style w:type="character" w:customStyle="1" w:styleId="legchangedelimiter">
    <w:name w:val="legchangedelimiter"/>
    <w:basedOn w:val="DefaultParagraphFont"/>
    <w:rsid w:val="00EE7CA6"/>
  </w:style>
  <w:style w:type="character" w:customStyle="1" w:styleId="legsubstitution">
    <w:name w:val="legsubstitution"/>
    <w:basedOn w:val="DefaultParagraphFont"/>
    <w:rsid w:val="00EE7CA6"/>
  </w:style>
  <w:style w:type="character" w:customStyle="1" w:styleId="legaddition">
    <w:name w:val="legaddition"/>
    <w:basedOn w:val="DefaultParagraphFont"/>
    <w:rsid w:val="00EE7CA6"/>
  </w:style>
  <w:style w:type="paragraph" w:customStyle="1" w:styleId="bulletblock">
    <w:name w:val="bullet block"/>
    <w:basedOn w:val="ListParagraph"/>
    <w:qFormat/>
    <w:rsid w:val="00567132"/>
    <w:pPr>
      <w:numPr>
        <w:numId w:val="21"/>
      </w:numPr>
      <w:spacing w:after="160" w:line="312" w:lineRule="auto"/>
      <w:ind w:right="543"/>
      <w:jc w:val="both"/>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806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sexcc.pagetiger.com/safeguarding-AP/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sexcc.pagetiger.com/safeguarding-AP/1" TargetMode="External"/><Relationship Id="rId5" Type="http://schemas.openxmlformats.org/officeDocument/2006/relationships/footnotes" Target="footnotes.xml"/><Relationship Id="rId10" Type="http://schemas.openxmlformats.org/officeDocument/2006/relationships/hyperlink" Target="https://schools.essex.gov.uk/admissions-and-attendance/education-access/alternative-provision/alternative-providers-directory-0" TargetMode="External"/><Relationship Id="rId4" Type="http://schemas.openxmlformats.org/officeDocument/2006/relationships/webSettings" Target="webSettings.xml"/><Relationship Id="rId9" Type="http://schemas.openxmlformats.org/officeDocument/2006/relationships/hyperlink" Target="mailto:EAT.Invoices@essex.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2218</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Keating - Education Access Manager</dc:creator>
  <cp:keywords/>
  <dc:description/>
  <cp:lastModifiedBy>Nicky Turp - Education Access Manager</cp:lastModifiedBy>
  <cp:revision>3</cp:revision>
  <dcterms:created xsi:type="dcterms:W3CDTF">2025-06-04T15:17:00Z</dcterms:created>
  <dcterms:modified xsi:type="dcterms:W3CDTF">2025-06-04T15:17:00Z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2023-11-14T11:18:02Z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34efc05c-b5df-4bb9-91c8-23fa9cb1cbf1</vt:lpwstr>
  </property>
  <property fmtid="{D5CDD505-2E9C-101B-9397-08002B2CF9AE}" pid="8" name="MSIP_Label_39d8be9e-c8d9-4b9c-bd40-2c27cc7ea2e6_ContentBits">
    <vt:lpwstr>0</vt:lpwstr>
  </property>
</Properties>
</file>